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14:00:28</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da governança de dados revela uma situação mista, com uma pontuação geral que sugere um progresso moderado. Os domínios apresentam uma distribuição desigual, com um desvio significativo em relação à média, indicando que algumas áreas exigem mais atenção do que outras. A governança de dados e a administração de dados se destacam, enquanto a gestão de dados mestres mostra um desempenho consideravelmente superior.</w:t>
      </w:r>
    </w:p>
    <w:p>
      <w:r>
        <w:t>Os domínios abaixo da média indicam prioridades para o desenvolvimento. Para fortalecer essas áreas, é fundamental implementar processos mais robustos, definir papéis claros e estabelecer padrões para garantir a consistência. Além disso, um monitoramento regular ajudará a identificar lacunas e promover melhorias contínuas.</w:t>
      </w:r>
    </w:p>
    <w:p>
      <w:r>
        <w:t>A exposição ao risco é impulsionada pelos domínios de menor maturidade, o que sugere que a organização deve focar em desenvolver e aprimorar suas práticas de governança nessas áreas para mitigar potenciais vulnerabilidades. Essa abordagem não apenas fortalecerá a governança de dados, mas também permitirá um crescimento sustentável e escalável a longo prazo.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