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14:05:41</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perfil balanceado, com todas as áreas apresentando pontuações próximas entre si. No entanto, ao examinar as pontuações, é evidente que algumas áreas podem se beneficiar de um foco adicional para garantir uma governança mais robusta. As áreas abaixo da média devem ser priorizadas, pois indicam oportunidades para aprimorar a eficiência e a eficácia.</w:t>
      </w:r>
    </w:p>
    <w:p>
      <w:r>
        <w:t>O índice de risco sugere que há uma exposição significativa proveniente das áreas de menor maturidade, o que deve ser abordado com urgência. Para fortalecer a governança de dados, recomenda-se o desenvolvimento de processos mais claros, a definição de papéis e responsabilidades, a criação de padrões consistentes e o monitoramento contínuo das práticas em todas as áreas. Essas ações não apenas mitigarão os riscos, mas também promoverão uma cultura de governança mais sólida.</w:t>
      </w:r>
    </w:p>
    <w:p>
      <w:r>
        <w:t>Concentrar esforços nessas áreas prioritárias ajudará a elevar a maturidade geral da governança de dados, proporcionando uma base mais sólida para o crescimento e a inovação organizacional.</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