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14:15:45</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índice de maturidade que indica um nível intermediário de desenvolvimento. A presença de um índice de equilíbrio baixo sugere uma falta de uniformidade nas competências das diferentes áreas de governança, enquanto um índice de risco elevado destaca a exposição que a organização enfrenta devido às áreas de menor maturidade.</w:t>
      </w:r>
    </w:p>
    <w:p>
      <w:r>
        <w:t xml:space="preserve">Os resultados mostram uma disparidade significativa entre as áreas, com algumas apresentando pontuações muito acima da média. As áreas que se destacam negativamente devem ser priorizadas para melhorar a governança de dados. Focar em processos, definição clara de papéis, estabelecimento de padrões e monitoramento contínuo pode ajudar a elevar a maturidade nessas áreas críticas. </w:t>
      </w:r>
    </w:p>
    <w:p>
      <w:r>
        <w:t>É essencial que a organização trabalhe na consistência e escalabilidade de suas práticas de governança de dados, criando um ambiente onde as melhores práticas possam ser implementadas de maneira uniforme. O fortalecimento das áreas com menor desempenho contribuirá para mitigar os riscos identificados e melhorar a estrutura geral de governança.</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2"/>
      </w:pPr>
      <w:r>
        <w:t>2.1 Dependências Declaradas (fluxo do projeto)</w:t>
      </w:r>
    </w:p>
    <w:p>
      <w:pPr>
        <w:pStyle w:val="Heading3"/>
      </w:pPr>
      <w:r>
        <w:t>DG · Data Governance</w:t>
      </w:r>
    </w:p>
    <w:p>
      <w:pPr>
        <w:spacing w:after="120"/>
      </w:pPr>
      <w:r>
        <w:t>Nenhuma dependência declarada.</w:t>
      </w:r>
    </w:p>
    <w:p>
      <w:pPr>
        <w:pStyle w:val="Heading3"/>
      </w:pPr>
      <w:r>
        <w:t>DA · Data Architecture</w:t>
      </w:r>
    </w:p>
    <w:p>
      <w:pPr>
        <w:spacing w:after="120"/>
      </w:pPr>
      <w:r>
        <w:t>Dependências declaradas:</w:t>
      </w:r>
    </w:p>
    <w:p>
      <w:pPr>
        <w:pStyle w:val="ListBullet"/>
      </w:pPr>
      <w:r>
        <w:t>- DG · Data Governance (grade 1 · Ad-hoc)</w:t>
      </w:r>
    </w:p>
    <w:p>
      <w:pPr>
        <w:pStyle w:val="Heading3"/>
      </w:pPr>
      <w:r>
        <w:t>DMD · Data Modelling and Design</w:t>
      </w:r>
    </w:p>
    <w:p>
      <w:pPr>
        <w:spacing w:after="120"/>
      </w:pPr>
      <w:r>
        <w:t>Dependências declaradas:</w:t>
      </w:r>
    </w:p>
    <w:p>
      <w:pPr>
        <w:pStyle w:val="ListBullet"/>
      </w:pPr>
      <w:r>
        <w:t>- DG · Data Governance (grade 1 · Ad-hoc)</w:t>
      </w:r>
    </w:p>
    <w:p>
      <w:pPr>
        <w:pStyle w:val="ListBullet"/>
      </w:pPr>
      <w:r>
        <w:t>- DA · Data Architecture (grade 3 · Definido)</w:t>
      </w:r>
    </w:p>
    <w:p>
      <w:pPr>
        <w:pStyle w:val="Heading2"/>
      </w:pPr>
      <w:r>
        <w:t>2.2 Rupturas de Dependência Detectadas e Orientações de Remediação</w:t>
      </w:r>
    </w:p>
    <w:p>
      <w:pPr>
        <w:pStyle w:val="Heading3"/>
      </w:pPr>
      <w:r>
        <w:t>DA · Data Architecture depende de DG · Data Governance</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pStyle w:val="Heading3"/>
      </w:pPr>
      <w:r>
        <w:t>DMD · Data Modelling and Design depende de DG · Data Governance</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pStyle w:val="Heading3"/>
      </w:pPr>
      <w:r>
        <w:t>DMD · Data Modelling and Design depende de DA · Data Architecture</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