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2026-03-05 14:15:54</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revela um índice de maturidade que sugere um desenvolvimento moderado, refletindo um estado em que a organização possui áreas de força, mas também desafios significativos a serem enfrentados. A distribuição das pontuações nos domínios indica um perfil equilibrado, sem disparidades marcantes entre eles, o que sugere uma abordagem coesa em relação à governança de dados.</w:t>
      </w:r>
    </w:p>
    <w:p>
      <w:r>
        <w:t>Entretanto, há oportunidades de melhoria nas áreas que se encontram abaixo da média, que devem ser priorizadas para impulsionar a maturidade organizacional. Para isso, recomenda-se um foco em processos claros, definição de papéis e responsabilidades, estabelecimento de padrões consistentes e implementação de práticas de monitoramento eficazes. Essas ações podem ajudar a elevar o desempenho nas áreas menos maduras, facilitando uma abordagem mais robusta e integrada de governança.</w:t>
      </w:r>
    </w:p>
    <w:p>
      <w:r>
        <w:t>Além disso, o índice de risco indica uma exposição relacionada às áreas de menor maturidade, o que deve ser abordado com urgência para mitigar possíveis impactos negativos. Portanto, investir em um fortalecimento dessas áreas é crucial para garantir uma governança de dados sólida e resiliente.</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pStyle w:val="Heading2"/>
      </w:pPr>
      <w:r>
        <w:t>2.1 Dependências Declaradas (fluxo do projeto)</w:t>
      </w:r>
    </w:p>
    <w:p>
      <w:pPr>
        <w:pStyle w:val="Heading3"/>
      </w:pPr>
      <w:r>
        <w:t>DG · Data Governance</w:t>
      </w:r>
    </w:p>
    <w:p>
      <w:pPr>
        <w:spacing w:after="120"/>
      </w:pPr>
      <w:r>
        <w:t>Nenhuma dependência declarada.</w:t>
      </w:r>
    </w:p>
    <w:p>
      <w:pPr>
        <w:pStyle w:val="Heading3"/>
      </w:pPr>
      <w:r>
        <w:t>DA · Data Architecture</w:t>
      </w:r>
    </w:p>
    <w:p>
      <w:pPr>
        <w:spacing w:after="120"/>
      </w:pPr>
      <w:r>
        <w:t>Dependências declaradas:</w:t>
      </w:r>
    </w:p>
    <w:p>
      <w:pPr>
        <w:pStyle w:val="ListBullet"/>
      </w:pPr>
      <w:r>
        <w:t>- DG · Data Governance (grade 1 · Ad-hoc)</w:t>
      </w:r>
    </w:p>
    <w:p>
      <w:pPr>
        <w:pStyle w:val="Heading3"/>
      </w:pPr>
      <w:r>
        <w:t>DMD · Data Modelling and Design</w:t>
      </w:r>
    </w:p>
    <w:p>
      <w:pPr>
        <w:spacing w:after="120"/>
      </w:pPr>
      <w:r>
        <w:t>Dependências declaradas:</w:t>
      </w:r>
    </w:p>
    <w:p>
      <w:pPr>
        <w:pStyle w:val="ListBullet"/>
      </w:pPr>
      <w:r>
        <w:t>- DG · Data Governance (grade 1 · Ad-hoc)</w:t>
      </w:r>
    </w:p>
    <w:p>
      <w:pPr>
        <w:pStyle w:val="ListBullet"/>
      </w:pPr>
      <w:r>
        <w:t>- DA · Data Architecture (grade 3 · Definido)</w:t>
      </w:r>
    </w:p>
    <w:p>
      <w:pPr>
        <w:pStyle w:val="Heading2"/>
      </w:pPr>
      <w:r>
        <w:t>2.2 Rupturas de Dependência Detectadas e Orientações de Remediação</w:t>
      </w:r>
    </w:p>
    <w:p>
      <w:pPr>
        <w:pStyle w:val="Heading3"/>
      </w:pPr>
      <w:r>
        <w:t>DA · Data Architecture depende de DG · Data Governance</w:t>
      </w:r>
    </w:p>
    <w:p>
      <w:pPr>
        <w:spacing w:after="120"/>
      </w:pPr>
      <w:r>
        <w:t>Justificativa de severidade: A dependência estrutural entre DA e DG é classificada como Crítica devido à profundidade da dependência 2 e centralidade estrutural 10, indicando potencial de propagação sistêmica se desalinhada.</w:t>
      </w:r>
    </w:p>
    <w:p>
      <w:pPr>
        <w:pStyle w:val="Heading3"/>
      </w:pPr>
      <w:r>
        <w:t>DMD · Data Modelling and Design depende de DG · Data Governance</w:t>
      </w:r>
    </w:p>
    <w:p>
      <w:pPr>
        <w:spacing w:after="120"/>
      </w:pPr>
      <w:r>
        <w:t>Justificativa de severidade: A dependência estrutural entre DMD e DG é classificada como Alta devido à profundidade de dependência 3 e centralidade estrutural 7, indicando potencial de propagação sistêmica se desalinhada.</w:t>
      </w:r>
    </w:p>
    <w:p>
      <w:pPr>
        <w:pStyle w:val="Heading3"/>
      </w:pPr>
      <w:r>
        <w:t>DMD · Data Modelling and Design depende de DA · Data Architecture</w:t>
      </w:r>
    </w:p>
    <w:p>
      <w:pPr>
        <w:spacing w:after="120"/>
      </w:pPr>
      <w:r>
        <w:t>Justificativa de severidade: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