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2026-03-05 14:26:05</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 xml:space="preserve">A análise da maturidade em governança de dados revela um perfil equilibrado, com todos os domínios próximos uns dos outros, o que indica uma abordagem coesa. No entanto, a presença de uma disparidade significativa entre os domínios sugere que a maturidade em governança de dados deve ser aprimorada, especialmente nas áreas em que a pontuação é mais baixa. </w:t>
      </w:r>
    </w:p>
    <w:p>
      <w:r>
        <w:t>Os domínios com desempenho abaixo da média requerem atenção prioritária. Para melhorar, é essencial focar no fortalecimento de processos, definição clara de papéis e responsabilidades, estabelecimento de padrões consistentes e implementação de monitoramento eficaz. Essa abordagem não apenas abordará as lacunas atuais, mas também ajudará a elevar a maturidade geral.</w:t>
      </w:r>
    </w:p>
    <w:p>
      <w:r>
        <w:t>A exposição ao risco é impulsionada pelos domínios de menor maturidade, o que deve ser considerado ao definir estratégias de mitigação. A implementação de práticas robustas de governança permitirá não apenas reduzir essa exposição, mas também promover uma cultura de responsabilidade e qualidade de dados dentro da organização.</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r>
        <w:br w:type="page"/>
      </w:r>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pStyle w:val="Heading3"/>
      </w:pPr>
      <w:r>
        <w:t>2.2.1 - DA depende de DG</w:t>
      </w:r>
    </w:p>
    <w:p>
      <w:pPr>
        <w:spacing w:after="120"/>
      </w:pPr>
      <w:r>
        <w:t>[HIGH GAP]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r>
    </w:p>
    <w:p>
      <w:pPr>
        <w:spacing w:after="120"/>
      </w:pPr>
      <w: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r>
    </w:p>
    <w:p>
      <w:pPr>
        <w:spacing w:after="120"/>
      </w:pPr>
      <w:r>
        <w:t>• Padrões Típicos de Desequilíbrio Entre Esses Domínios</w:t>
      </w:r>
    </w:p>
    <w:p>
      <w:pPr>
        <w:spacing w:after="120"/>
      </w:pPr>
      <w: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r>
    </w:p>
    <w:p>
      <w:pPr>
        <w:spacing w:after="120"/>
      </w:pPr>
      <w:r>
        <w:t>• Padrão de Arquitetura de Correção Estrutural</w:t>
      </w:r>
    </w:p>
    <w:p>
      <w:pPr>
        <w:spacing w:after="120"/>
      </w:pPr>
      <w: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r>
    </w:p>
    <w:p>
      <w:pPr>
        <w:spacing w:after="120"/>
      </w:pPr>
      <w:r>
        <w:t>• Lógica de Risco em Cascata e Degradação da Governança</w:t>
      </w:r>
    </w:p>
    <w:p>
      <w:pPr>
        <w:spacing w:after="120"/>
      </w:pPr>
      <w: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depende de DA</w:t>
      </w:r>
    </w:p>
    <w:p>
      <w:pPr>
        <w:spacing w:after="120"/>
      </w:pPr>
      <w:r>
        <w:t>[HIGH GAP] Assuma que o domínio de referência é estruturalmente mais maduro do que o domínio primário.</w:t>
        <w:br/>
        <w:br/>
        <w:t>### 1) Explicação da Dependência Estrutural Central</w:t>
        <w:br/>
        <w:t>Data Modelling and Design (DMD) depende fortemente de Data Architecture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br/>
        <w:t>### 2)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br/>
        <w:t>### 3)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br/>
        <w:t>### 4) Lógica de Risco em Cascata e Degradação da Governança</w:t>
        <w:br/>
        <w:t>Quando DMD e DA estão desalinhados, surgem riscos em cascata, incluindo problemas de qualidade dos dados, violações de conformidade e aumento dos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as iniciativas estratégicas. Estabelecer estruturas de governança robustas que imponham alinhamento entre DMD e DA é essencial para mitigar esses riscos.</w:t>
      </w:r>
    </w:p>
    <w:p>
      <w:pPr>
        <w:spacing w:after="120"/>
      </w:pPr>
      <w:r>
        <w:t>• Explicação da Dependência Estrutural Central</w:t>
      </w:r>
    </w:p>
    <w:p>
      <w:pPr>
        <w:spacing w:after="120"/>
      </w:pPr>
      <w: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r>
    </w:p>
    <w:p>
      <w:pPr>
        <w:spacing w:after="120"/>
      </w:pPr>
      <w:r>
        <w:t>• Padrões Típicos de Desequilíbrio Entre Esses Domínios</w:t>
      </w:r>
    </w:p>
    <w:p>
      <w:pPr>
        <w:spacing w:after="120"/>
      </w:pPr>
      <w: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r>
    </w:p>
    <w:p>
      <w:pPr>
        <w:spacing w:after="120"/>
      </w:pPr>
      <w:r>
        <w:t>• Padrão de Arquitetura de Correção Estrutural</w:t>
      </w:r>
    </w:p>
    <w:p>
      <w:pPr>
        <w:spacing w:after="120"/>
      </w:pPr>
      <w: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r>
    </w:p>
    <w:p>
      <w:pPr>
        <w:spacing w:after="120"/>
      </w:pPr>
      <w:r>
        <w:t>• Lógica de Risco em Cascata e Degradação da Governança</w:t>
      </w:r>
    </w:p>
    <w:p>
      <w:pPr>
        <w:spacing w:after="120"/>
      </w:pPr>
      <w: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depende de DG</w:t>
      </w:r>
    </w:p>
    <w:p>
      <w:pPr>
        <w:spacing w:after="120"/>
      </w:pPr>
      <w:r>
        <w:t>[CRITICAL GAP] A dependência estrutural entre DMD e DG é classificada como Alta devido à profundidade de dependência 3 e centralidade estrutural 7, indicando potencial de propagação sistêmica se desalinhada.</w:t>
      </w:r>
    </w:p>
    <w:p>
      <w:pPr>
        <w:spacing w:after="120"/>
      </w:pPr>
      <w:r>
        <w:t>Assuma que o domínio de referência é estruturalmente mais maduro do que o domínio primário.</w:t>
      </w:r>
    </w:p>
    <w:p>
      <w:pPr>
        <w:spacing w:after="120"/>
      </w:pPr>
      <w:r>
        <w:t>• Explicação da Dependência Estrutural Central</w:t>
      </w:r>
    </w:p>
    <w:p>
      <w:pPr>
        <w:spacing w:after="120"/>
      </w:pPr>
      <w: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r>
    </w:p>
    <w:p>
      <w:pPr>
        <w:spacing w:after="120"/>
      </w:pPr>
      <w: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r>
    </w:p>
    <w:p>
      <w:pPr>
        <w:spacing w:after="120"/>
      </w:pPr>
      <w:r>
        <w:t>• Padrões Típicos de Desequilíbrio Entre Esses Domínios</w:t>
      </w:r>
    </w:p>
    <w:p>
      <w:pPr>
        <w:spacing w:after="120"/>
      </w:pPr>
      <w: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r>
    </w:p>
    <w:p>
      <w:pPr>
        <w:spacing w:after="120"/>
      </w:pPr>
      <w: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r>
    </w:p>
    <w:p>
      <w:pPr>
        <w:spacing w:after="120"/>
      </w:pPr>
      <w:r>
        <w:t>• Padrão de Arquitetura de Correção Estrutural</w:t>
      </w:r>
    </w:p>
    <w:p>
      <w:pPr>
        <w:spacing w:after="120"/>
      </w:pPr>
      <w: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r>
    </w:p>
    <w:p>
      <w:pPr>
        <w:spacing w:after="120"/>
      </w:pPr>
      <w: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r>
    </w:p>
    <w:p>
      <w:pPr>
        <w:spacing w:after="120"/>
      </w:pPr>
      <w:r>
        <w:t>• Lógica de Risco em Cascata e Degradação da Governança</w:t>
      </w:r>
    </w:p>
    <w:p>
      <w:pPr>
        <w:spacing w:after="120"/>
      </w:pPr>
      <w: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r>
    </w:p>
    <w:p>
      <w:pPr>
        <w:spacing w:after="120"/>
      </w:pPr>
      <w: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