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14:30:15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que, apesar de apresentar um índice de maturidade relativamente positivo, enfrenta desigualdades significativas em algumas áreas. Os domínios de governança de dados e análise de dados mostram-se abaixo da média, indicando uma necessidade de atenção e desenvolvimento. Essa disparidade sugere que os processos e padrões nessas áreas estão menos estabelecidos, o que pode impactar a eficácia geral da governança de dados.</w:t>
      </w:r>
    </w:p>
    <w:p>
      <w:r>
        <w:t>O foco deve ser direcionado para o fortalecimento das práticas em governança de dados e análise de dados. Para isso, é fundamental implementar processos claros, definir funções e responsabilidades adequadas, estabelecer padrões consistentes e monitorar continuamente o progresso. Isso ajudará a criar uma base mais sólida e integrada para a governança de dados, reduzindo a exposição a riscos associados às áreas de menor maturidade.</w:t>
      </w:r>
    </w:p>
    <w:p>
      <w:r>
        <w:t>A situação atual ressalta a importância de um esforço contínuo para a melhoria e escalabilidade, a fim de garantir que todas as áreas de governança de dados se desenvolvam de maneira equilibrada e robusta.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