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14:30:25</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uma situação em que o índice de maturidade apresenta um nível moderado, sugerindo que a organização possui algumas práticas estabelecidas, mas ainda enfrenta desafios significativos. O equilíbrio entre os domínios é preocupante, pois um dos domínios se destaca como o mais maduro, enquanto os outros apresentam pontuações notavelmente mais baixas.</w:t>
      </w:r>
    </w:p>
    <w:p>
      <w:r>
        <w:t xml:space="preserve">Neste contexto, a disparidade entre os domínios indica que a organização deve priorizar o fortalecimento das áreas menos maduras. As práticas de governança em processos, definição de papéis, estabelecimento de padrões claros e monitoramento contínuo são fundamentais para elevar a maturidade nas áreas deficitárias. A exposição a riscos é exacerbada pelas lacunas nas áreas de menor maturidade, o que enfatiza a necessidade urgente de intervenções. </w:t>
      </w:r>
    </w:p>
    <w:p>
      <w:r>
        <w:t>Assim, a abordagem deve ser focada na melhoria das práticas onde a maturidade é mais baixa, garantindo um avanço equilibrado em toda a organização. Isso não só reduzirá a exposição a riscos, mas também promoverá uma governança de dados mais robusta e eficaz.</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