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14:33:01</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perfil equilibrado, com todos os domínios apresentando pontuações relativamente próximas. No entanto, é importante notar que algumas áreas estão abaixo da média, indicando potenciais prioridades para desenvolvimento. A governança de dados e a análise de dados, por exemplo, precisam de atenção, pois estão aquém do padrão desejado, o que sugere uma necessidade de aprimorar processos, definir papéis claros e estabelecer normas consistentes.</w:t>
      </w:r>
    </w:p>
    <w:p>
      <w:r>
        <w:t>O nível de exposição ao risco, impulsionado pelas áreas de maturidade mais baixa, indica que a organização pode enfrentar desafios relacionados à gestão de dados. Para mitigar essa exposição, recomenda-se uma abordagem sistemática ao fortalecer a governança, promovendo um ciclo de monitoramento contínuo e revisando as práticas atuais. Ao focar nessas prioridades, a organização pode não apenas elevar a maturidade das áreas deficitárias, mas também garantir uma base sólida para o crescimento sustentável em governança de dados.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