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14:33:10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cenário em que a organização apresenta um índice de maturidade moderado, indicando que ainda há espaço para melhorias significativas. A disparidade entre os domínios não é notável, pois todos se encontram dentro de uma faixa equilibrada, sugerindo uma abordagem relativamente uniforme em relação à governança de dados. No entanto, existem áreas que demandam atenção especial, dado que todos os domínios estão abaixo da média, o que implica uma necessidade de priorização.</w:t>
      </w:r>
    </w:p>
    <w:p>
      <w:r>
        <w:t>As prioridades devem ser focadas na criação de processos robustos, definição clara de papéis e responsabilidades, além da implementação de padrões e práticas de monitoramento eficazes. Tais ações podem elevar a maturidade, permitindo um gerenciamento mais eficaz dos dados e melhorando a confiança nos mesmos. Embora a exposição ao risco seja influenciada pelos domínios de menor maturidade, um enfoque consistente e escalável em governança pode mitigar essas vulnerabilidades.</w:t>
      </w:r>
    </w:p>
    <w:p>
      <w:r>
        <w:t>Para avançar, é fundamental que a organização estabeleça uma estratégia clara que priorize a harmonização de processos e a capacitação de equipes, promovendo uma cultura de governança de dados que suporte o crescimento e a inovação.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