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14:36:21</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em governança de dados revela um cenário misto, com um índice de maturidade que indica um progresso razoável, mas com áreas que necessitam de atenção. A pontuação média dos domínios sugere uma disparidade significativa, especialmente em relação a um dos domínios, que se destaca com uma pontuação consideravelmente mais alta. Isso sugere que a organização possui uma área de excelência em governança de dados, enquanto outras áreas estão em desenvolvimento.</w:t>
      </w:r>
    </w:p>
    <w:p>
      <w:r>
        <w:t>As prioridades devem ser direcionadas para os domínios que estão abaixo da média, focando na implementação de processos mais robustos, definição clara de funções e responsabilidades, estabelecimento de padrões consistentes e monitoramento contínuo das práticas de governança. A exposição ao risco é impulsionada pelos domínios de menor maturidade, indicando que a organização deve priorizar a melhoria nessas áreas para mitigar potenciais vulnerabilidades.</w:t>
      </w:r>
    </w:p>
    <w:p>
      <w:r>
        <w:t>A estrutura atual pode ser aprimorada com um foco equilibrado na uniformidade e na escalabilidade das práticas de governança, garantindo que todos os domínios evoluam em sinergia. O caminho à frente deve ser guiado por um compromisso com a excelência, buscando uma integração mais coesa das políticas de governança de dados em toda a organização.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3"/>
      </w:pPr>
      <w:r>
        <w:t>2.1 2.1 Dependências Declaradas (fluxo do projeto)</w:t>
      </w:r>
    </w:p>
    <w:p>
      <w:pPr>
        <w:pStyle w:val="Heading3"/>
      </w:pPr>
      <w:r>
        <w:t>DG · Data Governance</w:t>
      </w:r>
    </w:p>
    <w:p>
      <w:pPr>
        <w:spacing w:after="120"/>
      </w:pPr>
      <w:r>
        <w:t>Nenhuma dependência declarada.</w:t>
      </w:r>
    </w:p>
    <w:p>
      <w:pPr>
        <w:pStyle w:val="Heading3"/>
      </w:pPr>
      <w:r>
        <w:t>DA · Data Architecture</w:t>
      </w:r>
    </w:p>
    <w:p>
      <w:pPr>
        <w:spacing w:after="120"/>
      </w:pPr>
      <w:r>
        <w:t>Dependências declaradas:</w:t>
      </w:r>
    </w:p>
    <w:p>
      <w:pPr>
        <w:pStyle w:val="ListBullet"/>
      </w:pPr>
      <w:r>
        <w:t>- DG · Data Governance (grade 1 · Ad-hoc)</w:t>
      </w:r>
    </w:p>
    <w:p>
      <w:pPr>
        <w:pStyle w:val="Heading3"/>
      </w:pPr>
      <w:r>
        <w:t>DMD · Data Modelling and Design</w:t>
      </w:r>
    </w:p>
    <w:p>
      <w:pPr>
        <w:spacing w:after="120"/>
      </w:pPr>
      <w:r>
        <w:t>Dependências declaradas:</w:t>
      </w:r>
    </w:p>
    <w:p>
      <w:pPr>
        <w:pStyle w:val="ListBullet"/>
      </w:pPr>
      <w:r>
        <w:t>- DG · Data Governance (grade 1 · Ad-hoc)</w:t>
      </w:r>
    </w:p>
    <w:p>
      <w:pPr>
        <w:pStyle w:val="ListBullet"/>
      </w:pPr>
      <w:r>
        <w:t>- DA · Data Architecture (grade 3 · Definido)</w:t>
      </w:r>
    </w:p>
    <w:p>
      <w:pPr>
        <w:pStyle w:val="Heading3"/>
      </w:pPr>
      <w:r>
        <w:t>2.2 2.2 Rupturas de Dependência Detectadas e Orientações de Remediação</w:t>
      </w:r>
    </w:p>
    <w:p>
      <w:pPr>
        <w:pStyle w:val="Heading3"/>
      </w:pPr>
      <w:r>
        <w:t>DA · Data Architecture depende de DG · Data Governance</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pStyle w:val="Heading3"/>
      </w:pPr>
      <w:r>
        <w:t>DMD · Data Modelling and Design depende de DG · Data Governance</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pStyle w:val="Heading3"/>
      </w:pPr>
      <w:r>
        <w:t>DMD · Data Modelling and Design depende de DA · Data Architecture</w:t>
      </w:r>
    </w:p>
    <w:p>
      <w:pPr>
        <w:spacing w:after="120"/>
      </w:pPr>
      <w:r>
        <w:t>Justificativa de severidade: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