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14:36:30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relativamente equilibrado, com a maioria dos domínios apresentando resultados próximos entre si. No entanto, a pontuação em um dos domínios indica uma disparidade significativa, evidenciando áreas que necessitam de atenção. Essa inconsistência sugere um foco prioritário na melhoria das práticas de governança nesse domínio específico.</w:t>
      </w:r>
    </w:p>
    <w:p>
      <w:r>
        <w:t>O nível de risco é elevado, refletindo a exposição associada aos domínios com menor maturidade. Isso aponta para a necessidade urgente de fortalecer as práticas de governança nessas áreas para mitigar potenciais vulnerabilidades. As prioridades devem se concentrar no desenvolvimento de processos claros, definição de papéis e responsabilidades, estabelecimento de padrões e aprimoramento da monitoração contínua.</w:t>
      </w:r>
    </w:p>
    <w:p>
      <w:r>
        <w:t>Para avançar, é essencial implementar um plano de ação que aborde as lacunas identificadas, promovendo um ambiente de governança mais robusto e eficaz. O foco na consistência e na escalabilidade também será crucial para assegurar que a maturidade em governança de dados continue a evoluir de forma sustentável.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2.1 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3"/>
      </w:pPr>
      <w:r>
        <w:t>2.2 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