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14:44:38</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 xml:space="preserve">A análise do gráfico de maturidade em governança de dados revela uma organização com um índice de maturidade que indica um nível intermediário de desenvolvimento. A distribuição das pontuações entre as diferentes áreas sugere um perfil equilibrado, mas com um foco claro em ajustes necessários. </w:t>
      </w:r>
    </w:p>
    <w:p>
      <w:r>
        <w:t>Entretanto, uma disparidade significativa é observada na pontuação do domínio de Dados Mestres, que se destaca em relação aos outros. Essa diferença implica que a organização deve priorizar esforços nesta área, a fim de elevar a maturidade e garantir uma governança de dados mais robusta. O índice de risco sugere uma exposição considerável, resultante da menor maturidade nos domínios, o que requer atenção imediata.</w:t>
      </w:r>
    </w:p>
    <w:p>
      <w:r>
        <w:t>Para avançar, é recomendável que a organização estabeleça processos claros, defina papéis e responsabilidades, implemente padrões consistentes e mantenha um monitoramento contínuo das práticas de governança. Essas ações não apenas ajudarão a mitigar riscos, mas também a promover um ambiente de dados mais coeso e eficaz.</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