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14:55:46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equilibrado, com todas as áreas próximas entre si. No entanto, a pontuação de um dos domínios indica que ele está significativamente abaixo da média, o que sugere uma disparidade importante. Esse desequilíbrio sinaliza que a organização deve priorizar esforços para fortalecer essa área específica, visando uma abordagem mais coesa em toda a estrutura de governança.</w:t>
      </w:r>
    </w:p>
    <w:p>
      <w:r>
        <w:t>A exposição ao risco, impulsionada pelos domínios de menor maturidade, destaca a necessidade de atenção a essas áreas. Para mitigar essa exposição, é recomendável desenvolver processos claros, definir papéis e responsabilidades bem delineados, estabelecer padrões robustos e implementar um monitoramento contínuo. Essas ações não apenas ajudarão a elevar a pontuação do domínio em questão, mas também contribuirão para uma melhoria geral na maturidade da governança de dados.</w:t>
      </w:r>
    </w:p>
    <w:p>
      <w:r>
        <w:t>Em suma, a organização deve direcionar seus esforços para equilibrar o desempenho das áreas, com foco especial naquelas que apresentam lacunas, garantindo assim uma governança de dados mais eficaz e integrada.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Pr>
        <w:pStyle w:val="Heading2"/>
      </w:pPr>
      <w:r>
        <w:t>2.2 Detected Breaks</w:t>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