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14:55:54</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cenário com um índice de maturidade moderado e uma diversidade nas pontuações das áreas avaliadas. A média das pontuações indica uma concentração de força nas dimensões de gerenciamento de dados, enquanto as demais áreas apresentam um desempenho inferior. Essa situação sugere que a organização possui um potencial considerável em gerenciamento de dados, mas enfrenta desafios significativos em outras dimensões.</w:t>
      </w:r>
    </w:p>
    <w:p>
      <w:r>
        <w:t xml:space="preserve">Os dados mostram uma disparidade significativa entre as áreas, com uma notável diferença que sugere a necessidade de atenção. As áreas que estão abaixo da média devem ser priorizadas para desenvolvimento, principalmente em processos, definição clara de papéis, estabelecimento de padrões e monitoramento eficaz. A exposição ao risco é impulsionada pelas áreas de menor maturidade, indicando que a falta de atenção a essas dimensões pode resultar em vulnerabilidades operacionais. </w:t>
      </w:r>
    </w:p>
    <w:p>
      <w:r>
        <w:t>Para avançar no nível de maturidade em governança de dados, é fundamental focar na consistência e na escalabilidade das práticas de governança. Isso pode ser alcançado através do fortalecimento das políticas internas e do aprimoramento dos processos de monitoramento. A abordagem para melhorar continuamente essas áreas permitirá uma evolução mais equilibrada e sólida na governança de dados da organização.</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r>
        <w:br w:type="page"/>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Pr>
        <w:pStyle w:val="Heading2"/>
      </w:pPr>
      <w:r>
        <w:t>2.2 Detected Breaks</w:t>
      </w:r>
    </w:p>
    <w:p>
      <w:pPr>
        <w:pStyle w:val="Heading3"/>
      </w:pPr>
      <w:r>
        <w:t>2.2.1 - DA depende de DG</w:t>
      </w:r>
    </w:p>
    <w:p>
      <w:pPr>
        <w:spacing w:after="120"/>
      </w:pPr>
      <w:r>
        <w:t>[HIGH GAP]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r>
    </w:p>
    <w:p>
      <w:pPr>
        <w:spacing w:after="120"/>
      </w:pPr>
      <w: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r>
    </w:p>
    <w:p>
      <w:pPr>
        <w:spacing w:after="120"/>
      </w:pPr>
      <w: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r>
    </w:p>
    <w:p>
      <w:pPr>
        <w:spacing w:after="120"/>
      </w:pPr>
      <w: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r>
    </w:p>
    <w:p>
      <w:pPr>
        <w:spacing w:after="120"/>
      </w:pPr>
      <w: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depende de DA</w:t>
      </w:r>
    </w:p>
    <w:p>
      <w:pPr>
        <w:spacing w:after="120"/>
      </w:pPr>
      <w:r>
        <w:t>[HIGH GAP]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r>
    </w:p>
    <w:p>
      <w:pPr>
        <w:spacing w:after="120"/>
      </w:pPr>
      <w: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r>
    </w:p>
    <w:p>
      <w:pPr>
        <w:spacing w:after="120"/>
      </w:pPr>
      <w: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r>
    </w:p>
    <w:p>
      <w:pPr>
        <w:spacing w:after="120"/>
      </w:pPr>
      <w: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r>
    </w:p>
    <w:p>
      <w:pPr>
        <w:spacing w:after="120"/>
      </w:pPr>
      <w: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depende de DG</w:t>
      </w:r>
    </w:p>
    <w:p>
      <w:pPr>
        <w:spacing w:after="120"/>
      </w:pPr>
      <w:r>
        <w:t>[CRITICAL GAP]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r>
    </w:p>
    <w:p>
      <w:pPr>
        <w:spacing w:after="120"/>
      </w:pPr>
      <w: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r>
    </w:p>
    <w:p>
      <w:pPr>
        <w:spacing w:after="120"/>
      </w:pPr>
      <w: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r>
    </w:p>
    <w:p>
      <w:pPr>
        <w:spacing w:after="120"/>
      </w:pPr>
      <w: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r>
    </w:p>
    <w:p>
      <w:pPr>
        <w:spacing w:after="120"/>
      </w:pPr>
      <w: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r>
    </w:p>
    <w:p>
      <w:pPr>
        <w:spacing w:after="120"/>
      </w:pPr>
      <w: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r>
    </w:p>
    <w:p>
      <w:pPr>
        <w:spacing w:after="120"/>
      </w:pPr>
      <w: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r>
    </w:p>
    <w:p>
      <w:pPr>
        <w:spacing w:after="120"/>
      </w:pPr>
      <w: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r>
    </w:p>
    <w:p>
      <w:pPr>
        <w:spacing w:after="120"/>
      </w:pPr>
      <w: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