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15:06:11</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da maturidade em governança de dados revela um nível moderado de desenvolvimento, com um índice de maturidade que indica a necessidade de aprimoramentos em várias áreas. A distribuição das pontuações dos domínios sugere uma abordagem geral equilibrada, mas com algumas áreas que requerem atenção especial.</w:t>
      </w:r>
    </w:p>
    <w:p>
      <w:r>
        <w:t>É notável que os domínios de governança de dados e análise de dados apresentam disparidades significativas em relação à média, sendo que a gestão de metadados se destaca como a área mais forte. Isso sugere que as práticas em governança de dados e análise de dados não estão alinhadas com a robustez observada na gestão de metadados. As prioridades devem ser focadas na melhoria das áreas abaixo da média, o que pode ser alcançado através do fortalecimento de processos, definição clara de papéis, estabelecimento de padrões consistentes e monitoramento contínuo.</w:t>
      </w:r>
    </w:p>
    <w:p>
      <w:r>
        <w:t>Além disso, o nível de exposição identificado indica que as áreas de menor maturidade podem, de fato, representar riscos consideráveis para a organização. Portanto, é fundamental implementar iniciativas que abordem essas lacunas e promovam uma evolução contínua na governança de dados.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depende de DG</w:t>
      </w:r>
    </w:p>
    <w:p>
      <w:pPr>
        <w:spacing w:after="120"/>
      </w:pPr>
      <w:r>
        <w:t>[HIGH GAP]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depende de DA</w:t>
      </w:r>
    </w:p>
    <w:p>
      <w:pPr>
        <w:spacing w:after="120"/>
      </w:pPr>
      <w:r>
        <w:t>[HIGH GAP]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depende de DG</w:t>
      </w:r>
    </w:p>
    <w:p>
      <w:pPr>
        <w:spacing w:after="120"/>
      </w:pPr>
      <w:r>
        <w:t>[CRITICAL GAP]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