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15:19:25</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índice de maturidade que indica um desenvolvimento moderado, sugerindo que a organização possui uma base razoável, mas ainda carece de avanços significativos. A presença de um índice de equilíbrio relativamente baixo aponta para uma distribuição desigual nas pontuações entre os domínios, o que pode indicar áreas de foco prioritário.</w:t>
      </w:r>
    </w:p>
    <w:p>
      <w:r>
        <w:t xml:space="preserve">Ao examinar as pontuações individuais dos domínios, nota-se uma disparidade considerável, especialmente em relação à governança de dados e à gestão de dados. Isso sugere que esses domínios estão abaixo da média e requerem atenção. Para melhorar a maturidade nesses aspectos, a organização deve considerar o fortalecimento de processos, a definição clara de papéis e responsabilidades, a implementação de padrões robustos e o desenvolvimento de práticas eficazes de monitoramento. </w:t>
      </w:r>
    </w:p>
    <w:p>
      <w:r>
        <w:t>Adicionalmente, a exposição ao risco é impulsionada pelos domínios de menor maturidade, indicando que a falta de desenvolvimento nestas áreas pode comprometer a eficácia geral da governança de dados. Portanto, o foco deve estar na elevação das práticas de governança nos domínios menos maduros, garantindo uma base sólida para o crescimento futuro e a redução de riscos associados.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