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15:19:35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revela um índice global que indica um avanço moderado na governança de dados, embora a disparidade entre os domínios sugira áreas que demandam atenção. Observa-se um desequilíbrio significativo, especialmente nos domínios de dados e gestão de dados, que estão acima da média, enquanto a governança de dados apresenta um desempenho inferior. Essa diferença sugere que a organização pode estar priorizando aspectos de análise e gestão em detrimento da governança propriamente dita.</w:t>
      </w:r>
    </w:p>
    <w:p>
      <w:r>
        <w:t>As prioridades devem se concentrar na melhoria da governança de dados, que é a área com maior necessidade de desenvolvimento. Para avançar, a organização deve considerar a implementação de processos mais robustos, definição clara de papéis e responsabilidades, estabelecimento de padrões consistentes e monitoramento eficaz das práticas de governança. A exposição ao risco é impulsionada pelos domínios de menor maturidade, o que implica que medidas devem ser tomadas para mitigar essa vulnerabilidade.</w:t>
      </w:r>
    </w:p>
    <w:p>
      <w:r>
        <w:t>Embora o perfil geral mostre um desenvolvimento considerável, as ações direcionadas para a governança de dados serão fundamentais para aumentar a maturidade e reduzir a exposição. A atenção a essas lacunas contribuirá para um ambiente de dados mais coeso e eficiente.</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