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15:23:59</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da maturidade de governança de dados revela um perfil relativamente equilibrado, com todos os domínios exibindo pontuações que se aproximam da média. Contudo, há uma disparidade significativa no domínio de Análise de Dados, que se destaca positivamente, enquanto o domínio de Governança de Dados apresenta valores abaixo da média, sugerindo uma necessidade de atenção. Essa diferença sugere que a organização deve priorizar esforços na governança e na gestão de dados, que são fundamentais para fortalecer a estrutura de dados.</w:t>
      </w:r>
    </w:p>
    <w:p>
      <w:r>
        <w:t>A exposição a riscos é impulsionada pelos domínios de menor maturidade, especialmente no que se refere à governança de dados. Isso requer um foco na implementação de processos robustos, definição clara de papéis e responsabilidades, estabelecimento de padrões consistentes e mecanismos de monitoramento eficazes. A melhoria nesses aspectos pode não apenas mitigar riscos, mas também promover uma cultura de dados mais madura e resiliente.</w:t>
      </w:r>
    </w:p>
    <w:p>
      <w:r>
        <w:t>Diante disso, é essencial que a organização direcione suas ações para melhorar a governança de dados, com o objetivo de alinhar todos os domínios em um nível de maturidade mais homogêneo e eficiente.</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