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15:39:18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médio que indica um desenvolvimento moderado. A presença de um índice de equilíbrio relativamente baixo sugere que há áreas de foco distintas, refletindo uma estrutura que poderia ser mais coesa. A avaliação dos domínios mostra que, embora a maioria esteja em níveis aceitáveis, existe uma disparidade notável, especialmente em relação à gestão de dados, que se destaca em comparação com os outros domínios.</w:t>
      </w:r>
    </w:p>
    <w:p>
      <w:r>
        <w:t>Os domínios abaixo da média devem ser priorizados, especialmente no que diz respeito à governança e à arquitetura de dados, onde melhorias podem ser alcançadas através da definição clara de processos, atribuição de papéis e responsabilidades, estabelecimento de padrões e práticas de monitoramento. É essencial abordar essas áreas para mitigar a exposição, que é impulsionada pelos domínios de menor maturidade. A construção de uma fundação sólida nestas áreas pode não apenas reduzir riscos, mas também promover um ambiente de dados mais robusto e eficaz.</w:t>
      </w:r>
    </w:p>
    <w:p>
      <w:r>
        <w:t>A adoção de uma abordagem incremental, focando na consistência e escalabilidade, será vital para a evolução da maturidade em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