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15:39:27</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equilibrado, com todas as áreas de domínio apresentando pontuações relativamente próximas. No entanto, a pontuação em governança de dados e gestão de dados mostra uma disparidade significativa em relação ao domínio de análise de dados, indicando que a organização deve focar na melhoria das práticas nesses aspectos. A média das pontuações em domínios sugere uma necessidade de atenção especial, particularmente nas áreas que apresentaram desempenho inferior.</w:t>
      </w:r>
    </w:p>
    <w:p>
      <w:r>
        <w:t>A exposição ao risco é impulsionada por essas áreas de menor maturidade, o que destaca a importância de fortalecer as práticas de governança. As prioridades devem incluir a definição clara de processos, a atribuição de papéis e responsabilidades, o estabelecimento de padrões consistentes e a implementação de mecanismos de monitoramento contínuo. Essas ações ajudarão a não apenas elevar a maturidade das áreas em questão, mas também a garantir uma governança de dados mais robusta e eficiente.</w:t>
      </w:r>
    </w:p>
    <w:p>
      <w:r>
        <w:t>Em resumo, embora a organização demonstre um perfil equilibrado em termos de maturidade em governança de dados, é crucial abordar as disparidades identificadas para mitigar riscos e melhorar a eficácia geral.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