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15:46:18</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 xml:space="preserve">A análise do gráfico de maturidade em governança de dados revela um perfil equilibrado, com todas as áreas de avaliação próximas entre si. A pontuação média está em um nível razoável, indicando que a organização possui práticas em vigor, mas ainda há espaço para aprimoramento. </w:t>
      </w:r>
    </w:p>
    <w:p>
      <w:r>
        <w:t xml:space="preserve">No entanto, a exposição a riscos é impulsionada pelas áreas de menor maturidade. É crucial priorizar o desenvolvimento de processos, definição clara de papéis e responsabilidades, e a implementação de normas e práticas de monitoramento adequadas. Essas ações não apenas fortalecerão a governança de dados, mas também reduzirão a vulnerabilidade associada aos domínios menos maduros. </w:t>
      </w:r>
    </w:p>
    <w:p>
      <w:r>
        <w:t>A ênfase deve estar em iniciativas que promovam consistência e escalabilidade, assegurando que a governança de dados se torne uma parte integral da cultura organizacional. Ao adotar uma abordagem proativa, a organização poderá avançar em sua jornada de maturidade em governança de dados.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