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15:46:26</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cenário com um índice de maturidade considerável, mas com áreas que necessitam de atenção. A pontuação média dos domínios indica um perfil equilibrado, mas existe uma disparidade significativa nos resultados, particularmente no domínio de "DMD", que se destaca em relação aos demais. Essa diferença sugere que a organização possui um forte desempenho em gerenciamento de dados, enquanto as áreas de governança de dados e análise de dados precisam de desenvolvimento.</w:t>
      </w:r>
    </w:p>
    <w:p>
      <w:r>
        <w:t>As prioridades devem focar nas áreas que estão abaixo da média. Para melhorar a governança de dados e a análise de dados, é crucial estabelecer processos claros, designar papéis e responsabilidades definidos, implementar padrões consistentes e monitorar continuamente as práticas de governança. Essas ações podem ajudar a minimizar a exposição resultante das áreas de menor maturidade.</w:t>
      </w:r>
    </w:p>
    <w:p>
      <w:r>
        <w:t>Embora a organização tenha uma base sólida em gerenciamento de dados, a atenção às áreas menos desenvolvidas é essencial para alcançar uma maturidade mais elevada em toda a estrutura de governança. Esse foco não apenas mitigará riscos associados, mas também potencializará o valor dos ativos de dados da organização.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