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02:41:04</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nível moderado de maturidade organizacional. Embora a pontuação geral indique um progresso considerável, a presença de uma disparidade significativa entre os domínios sugere áreas específicas que necessitam de atenção. O domínio de "DA" apresenta um desempenho abaixo da média, o que indica uma necessidade urgente de melhorias nesse aspecto.</w:t>
      </w:r>
    </w:p>
    <w:p>
      <w:r>
        <w:t>A exposição ao risco é determinada principalmente pelos domínios de menor maturidade, o que requer uma abordagem focada para mitigar as vulnerabilidades. Para fortalecer a governança de dados, é aconselhável estabelecer processos claros, definir papéis e responsabilidades adequados, desenvolver padrões consistentes e implementar monitoramento contínuo. Essas ações podem ajudar a elevar o domínio "DA" e, consequentemente, melhorar a resiliência geral da governança de dados.</w:t>
      </w:r>
    </w:p>
    <w:p>
      <w:r>
        <w:t>A maturidade atual indica que a organização está em uma trajetória positiva, mas a priorização de melhorias nos domínios menos desenvolvidos é essencial para garantir um avanço consistente e sustentável.</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