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02:41:14</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que indica um nível intermediário de desenvolvimento. A distribuição das pontuações por domínio sugere uma abordagem relativamente equilibrada, embora haja uma disparidade significativa entre alguns deles. O domínio de gerenciamento de dados demonstra um desempenho notável, enquanto a governança de dados e a arquitetura de dados apresentam resultados mais modestos, refletindo áreas que necessitam de atenção.</w:t>
      </w:r>
    </w:p>
    <w:p>
      <w:r>
        <w:t>As prioridades identificadas neste cenário inclinam-se para os domínios que se encontram abaixo da média, especialmente na governança de dados e arquitetura de dados. Melhorias podem ser alcançadas por meio do fortalecimento de processos, definição clara de papéis, estabelecimento de padrões e implementação de monitoramento eficaz. Essa abordagem não apenas endereçará as lacunas atuais, mas também contribuirá para uma maturidade mais robusta em governança de dados.</w:t>
      </w:r>
    </w:p>
    <w:p>
      <w:r>
        <w:t>Embora o índice de risco indique uma exposição gerada pelos domínios de menor maturidade, a estratégia deve focar em desenvolver áreas críticas sem desconsiderar a consistência e a escalabilidade nas práticas de governança. A evolução contínua nestas áreas garantirá uma fundação sólida para a governança de dados da organização.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