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02:45:03</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que indica um desenvolvimento moderado, com uma exposição considerável associada aos domínios de menor maturidade. Embora haja um domínio com desempenho notavelmente superior, os outros apresentam características que podem ser aprimoradas, sugerindo uma necessidade de foco em processos e práticas de governança.</w:t>
      </w:r>
    </w:p>
    <w:p>
      <w:r>
        <w:t>Os domínios demonstram uma disparidade significativa, com um deles apresentando uma pontuação consideravelmente acima da média. Isso indica que há uma área de força que pode servir como modelo para o desenvolvimento das outras, que, por sua vez, estão aquém do ideal. Por isso, as prioridades devem se concentrar na melhoria das práticas de governança nos domínios menos desenvolvidos, o que pode ser alcançado através da definição clara de papéis, implementação de padrões robustos e monitoramento contínuo das práticas.</w:t>
      </w:r>
    </w:p>
    <w:p>
      <w:r>
        <w:t>Para avançar na maturidade da governança de dados, é essencial estabelecer um plano que permita a consistência e a escalabilidade. Ao fortalecer as áreas mais fracas, a organização poderá reduzir a exposição a riscos e criar uma estrutura de governança mais robusta e integrada.</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