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03:03:32</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revela um índice de maturidade geral que indica um nível intermediário de desenvolvimento em governança de dados. Com uma distribuição equilibrada entre as áreas de governança, análise e gerenciamento de dados, a organização demonstra um compromisso básico, mas efetivo, com a estrutura de governança. No entanto, a presença de uma disparidade significativa sugere que um dos domínios está se destacando positivamente em relação aos demais.</w:t>
      </w:r>
    </w:p>
    <w:p>
      <w:r>
        <w:t>As áreas que estão abaixo da média devem receber atenção prioritária para fortalecer a maturidade organizacional. Para promover melhorias, é essencial focar no aprimoramento de processos, definição clara de papéis e responsabilidades, estabelecimento de padrões consistentes e a implementação de mecanismos de monitoramento eficazes. Essas ações não só ajudarão a elevar o desempenho das áreas com menor maturidade, mas também a mitigar a exposição associada a essas fraquezas.</w:t>
      </w:r>
    </w:p>
    <w:p>
      <w:r>
        <w:t>Embora a organização apresente um bom desempenho em algumas áreas, o foco nas prioridades identificadas será crucial para alcançar um nível mais elevado de maturidade em governança de dados. Assegurar que todas as áreas estejam alinhadas e desenvolvam suas capacidades contribuirá para um ambiente de dados mais robusto e eficiente.</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b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b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b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b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b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b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b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