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2026-03-06 03:03:43</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avaliação da maturidade em governança de dados revela um perfil que apresenta uma média acima de 1.0 entre os domínios, indicando uma disparidade significativa. Os domínios de Dados Governamentais e Dados de Análise se destacam, enquanto o domínio de Gestão de Metadados mostra uma pontuação consideravelmente mais alta. Essa diferença sugere que a organização pode ter desenvolvido práticas robustas em Gestão de Metadados, enquanto outras áreas carecem de atenção.</w:t>
      </w:r>
    </w:p>
    <w:p>
      <w:r>
        <w:t>As prioridades devem se concentrar nos domínios que apresentam pontuações abaixo da média, especialmente na implementação de processos estruturados, definição clara de papéis, estabelecimento de padrões e monitoramento contínuo. Essas ações podem ajudar a fortalecer a governança nos domínios menos maduros e a reduzir a exposição associada aos domínios de menor maturidade. A capacidade de mitigar riscos pode ser aprimorada com foco em estabelecer práticas sólidas e consistentes.</w:t>
      </w:r>
    </w:p>
    <w:p>
      <w:r>
        <w:t>O índice de risco indica uma exposição que deve ser abordada, enfatizando a necessidade de melhorias nas áreas com menor maturidade. Para garantir um avanço sustentável, é vital que a organização se comprometa com a evolução contínua de suas práticas de governança de dados.</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
      <w:pPr>
        <w:pStyle w:val="Heading2"/>
      </w:pPr>
      <w:r>
        <w:t>2.2 Rupturas de Dependência Detectadas e Orientações de Remediação</w:t>
      </w:r>
    </w:p>
    <w:p/>
    <w:p>
      <w:pPr>
        <w:pStyle w:val="Heading3"/>
      </w:pPr>
      <w:r>
        <w:t>2.2.1 - DA ·  depende de DG ·</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b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br/>
        <w:t>• Padrões Típicos de Desequilíbrio Entre Esses Domínios</w:t>
        <w:b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br/>
        <w:t>• Padrão de Arquitetura de Correção Estrutural</w:t>
        <w:b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br/>
        <w:t>• Lógica de Risco em Cascata e Degradação da Governança</w:t>
        <w:b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  depende de DA ·</w:t>
      </w:r>
    </w:p>
    <w:p>
      <w:pPr>
        <w:spacing w:after="120"/>
      </w:pPr>
      <w:r>
        <w:t>Justificativa de severidade: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pPr>
        <w:spacing w:after="120"/>
      </w:pPr>
      <w:r>
        <w:t>• Explicação da Dependência Estrutural Central</w:t>
        <w:b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t>•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t>•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t>• Lógica de Risco em Cascata e Degradação da Governança</w:t>
        <w:b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  depende de DG ·</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br/>
        <w:t>• Explicação da Dependência Estrutural Central</w:t>
        <w:b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r>
    </w:p>
    <w:p>
      <w:pPr>
        <w:spacing w:after="120"/>
      </w:pPr>
      <w: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br/>
        <w:t>• Padrões Típicos de Desequilíbrio Entre Esses Domínios</w:t>
        <w:b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r>
    </w:p>
    <w:p>
      <w:pPr>
        <w:spacing w:after="120"/>
      </w:pPr>
      <w: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br/>
        <w:t>• Padrão de Arquitetura de Correção Estrutural</w:t>
        <w:b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r>
    </w:p>
    <w:p>
      <w:pPr>
        <w:spacing w:after="120"/>
      </w:pPr>
      <w: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br/>
        <w:t>• Lógica de Risco em Cascata e Degradação da Governança</w:t>
        <w:b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r>
    </w:p>
    <w:p>
      <w:pPr>
        <w:spacing w:after="120"/>
      </w:pPr>
      <w: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