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03:12:49</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cenário misto. A pontuação média das áreas de governança, análise de dados e gestão de dados mostra uma boa diversidade, mas uma disparidade significativa é observada, especialmente na gestão de dados, que se destaca positivamente em relação às demais. Essa diferença sugere que a organização tem um ponto forte a ser explorado e potencializado, enquanto as outras áreas podem beneficiar-se de um foco adicional.</w:t>
      </w:r>
    </w:p>
    <w:p>
      <w:r>
        <w:t xml:space="preserve">Os domínios de governança e análise de dados estão abaixo da média, o que indica que são prioridades para a melhoria. Para elevar a maturidade nessas áreas, é essencial fortalecer processos, definir papéis claros, estabelecer padrões robustos e implementar um monitoramento eficaz. A vigilância e a consistência na aplicação dessas práticas ajudarão a mitigar a exposição que decorre das áreas de menor maturidade. </w:t>
      </w:r>
    </w:p>
    <w:p>
      <w:r>
        <w:t>Embora a pontuação de risco sugira uma certa vulnerabilidade, é importante ver isso como uma oportunidade de crescimento e aprimoramento contínuo. A ênfase deve ser na integração e na colaboração entre as diferentes áreas para garantir uma governança de dados mais coesa e eficaz.</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b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b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b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b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b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b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b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