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03:13:01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revela um cenário moderado de governança de dados. O índice de maturidade sugere que a organização está em um estágio inicial, o que implica a necessidade de fortalecer processos e estruturas existentes. O equilíbrio entre os domínios é notável, com todos apresentando scores relativamente próximos, indicando uma abordagem equilibrada em termos de governança.</w:t>
      </w:r>
    </w:p>
    <w:p>
      <w:r>
        <w:t>Entretanto, ao considerar as pontuações, observa-se que um domínio, em particular, destaca-se em relação aos demais, mostrando um nível significativamente mais alto de maturidade. Isso sugere uma disparidade que pode comprometer a eficácia geral da governança. Para abordar essa situação, é fundamental priorizar a melhoria dos domínios com pontuações mais baixas. Focar em processos bem definidos, atribuição clara de papéis, estabelecimento de padrões e monitoramento contínuo pode ajudar a elevar esses domínios.</w:t>
      </w:r>
    </w:p>
    <w:p>
      <w:r>
        <w:t>A exposição ao risco é impulsionada pelos domínios de menor maturidade, enfatizando a importância de um plano de ação que vise a mitigação de possíveis lacunas. Conduzir iniciativas de melhoria em governança de dados pode não apenas reduzir a exposição ao risco, mas também promover um ambiente mais robusto e eficaz para a gestão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