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03:17:42</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moderado, indicando um desenvolvimento inicial nas práticas de governança. O perfil demonstra um equilíbrio entre os domínios, pois as pontuações estão dentro de uma faixa aceitável, sugerindo que a organização apresenta uma abordagem coesa, embora ainda necessite de avanços em áreas específicas.</w:t>
      </w:r>
    </w:p>
    <w:p>
      <w:r>
        <w:t>Entretanto, a exposição ao risco é impulsionada pelos domínios de menor maturidade, o que enfatiza a necessidade de atenção a esses setores. As áreas com pontuações inferiores à média devem ser priorizadas, permitindo um foco no fortalecimento de processos, definição clara de papéis e responsabilidades, elaboração de normas e monitoramento contínuo das práticas de governança. Essa abordagem ajudará a reduzir a vulnerabilidade e melhorar a eficácia geral.</w:t>
      </w:r>
    </w:p>
    <w:p>
      <w:r>
        <w:t>Ao considerar o desenvolvimento futuro, a ênfase deve estar em consistência e escalabilidade das práticas de governança. Este é um momento oportuno para estabelecer uma fundação sólida que permita não apenas a mitigação de riscos, mas também a maximização do valor dos dados na organização.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b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b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b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b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b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b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b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