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03:17:53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equilibrado, com todas as áreas operando dentro de uma faixa próxima entre si. No entanto, a disparidade entre as pontuações indica que a área de Gestão de Dados (DMD) se destaca significativamente em relação às demais, sugerindo um maior desenvolvimento neste domínio. Isso pode ser visto como uma oportunidade para fortalecer as práticas em Governança de Dados (DG) e Análise de Dados (DA), que apresentam pontuações inferiores.</w:t>
      </w:r>
    </w:p>
    <w:p>
      <w:r>
        <w:t xml:space="preserve">Com base na avaliação, as prioridades devem se concentrar nas áreas abaixo da média, estabelecendo um foco em processos, definição clara de papéis, padronização de práticas e monitoramento contínuo. Essas ações podem ajudar a aumentar a maturidade geral e garantir que todas as áreas evoluam de maneira coesa. </w:t>
      </w:r>
    </w:p>
    <w:p>
      <w:r>
        <w:t>Além disso, a exposição ao risco é impulsionada pelos domínios de menor maturidade, o que enfatiza a necessidade de intervenções direcionadas. Ao abordar as lacunas identificadas, a organização pode não apenas mitigar riscos, mas também promover uma cultura de governança de dados mais robusta e integrada.</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