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03:25:31</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que sugere um progresso moderado, mas também indica áreas de atenção. A disparidade entre os domínios é notável, com um domínio apresentando um desempenho significativamente superior em comparação aos demais. Isso reflete uma necessidade de focar na melhoria das práticas nos domínios com pontuações inferiores, que não estão alinhadas com as melhores práticas de governança.</w:t>
      </w:r>
    </w:p>
    <w:p>
      <w:r>
        <w:t xml:space="preserve">Os domínios abaixo da média devem ser priorizados, uma vez que a exposição é impulsionada pelos de menor maturidade. Para melhorar esses aspectos, recomenda-se um fortalecimento das práticas de governança, que pode incluir a definição clara de processos, o papel de cada stakeholder, a implementação de padrões consistentes e um sistema eficaz de monitoramento. </w:t>
      </w:r>
    </w:p>
    <w:p>
      <w:r>
        <w:t>É essencial que a organização busque abordar essas lacunas para garantir um ambiente de governança mais robusto e integrado. O foco em um desenvolvimento equilibrado em todos os domínios ajudará a mitigar riscos e a promover uma abordagem mais coesa em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