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03:25:40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radar de maturidade em governança de dados revela um índice de maturidade moderado, indicando que a organização está em um estágio intermediário de desenvolvimento. A pontuação em governança de dados e gerenciamento de dados mostra um desempenho robusto, enquanto a análise de dados apresenta um desempenho mais fraco. Essa disparidade sugere que a organização possui uma abordagem consolidada em áreas essenciais, mas ainda carece de um foco maior na análise de dados.</w:t>
      </w:r>
    </w:p>
    <w:p>
      <w:r>
        <w:t>A presença de um índice de risco elevado indica que a exposição está relacionada aos domínios de menor maturidade, o que pode impactar a eficácia geral da governança de dados. As prioridades devem ser direcionadas para a melhoria na análise de dados, onde é crucial estabelecer processos claros, definir papéis e responsabilidades, implementar padrões consistentes e fomentar um monitoramento regular das práticas adotadas. Isso não apenas mitigará os riscos associados, mas também ajudará a equilibrar a maturidade em todas as áreas.</w:t>
      </w:r>
    </w:p>
    <w:p>
      <w:r>
        <w:t>Em suma, a organização deve concentrar esforços em fortalecer a análise de dados, assegurando um avanço que suporte uma governança de dados mais integrada e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