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03:30:32</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relativamente equilibrado, com uma média de pontuação que sugere coesão entre os domínios avaliados. No entanto, é importante notar que um dos domínios se destaca por apresentar uma pontuação significativamente superior, indicando uma área de força em relação às demais. Essa disparidade pode ser um reflexo de práticas mais consolidadas e efetivas em comparação com outras áreas que ainda necessitam de desenvolvimento.</w:t>
      </w:r>
    </w:p>
    <w:p>
      <w:r>
        <w:t>Em termos de prioridades, as áreas que se encontram abaixo da média devem receber atenção especial. Para promover melhorias, é aconselhável focar na definição clara de processos, na atribuição de papéis e responsabilidades, na implementação de padrões consistentes e na criação de mecanismos de monitoramento eficazes. Tais ações podem ajudar a elevar a maturidade dos domínios menos desenvolvidos, contribuindo para um fortalecimento geral da governança de dados.</w:t>
      </w:r>
    </w:p>
    <w:p>
      <w:r>
        <w:t>A exposição, impulsionada pelas áreas de menor maturidade, requer uma abordagem estratégica para mitigar riscos e garantir que a governança de dados atenda às necessidades organizacionais de forma robusta e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