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03:50:06</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panorama misto para a organização. A pontuação geral indica um nível moderado de maturidade, mas a presença de domínios com pontuações significativamente distintas sugere áreas que necessitam de atenção. Embora um domínio se destaque positivamente, os outros mostram uma variação que pode impactar a eficácia da governança.</w:t>
      </w:r>
    </w:p>
    <w:p>
      <w:r>
        <w:t>A disparidade observada entre os domínios aponta para a necessidade de priorização. As áreas com pontuação abaixo da média devem ser abordadas com foco em processos, definição clara de papéis, desenvolvimento de padrões robustos e implementação de práticas de monitoramento eficazes. Essas ações visam não apenas aumentar a maturidade nessas áreas, mas também fortalecer a governança como um todo.</w:t>
      </w:r>
    </w:p>
    <w:p>
      <w:r>
        <w:t>A exposição ao risco é impulsionada pelos domínios de menor maturidade, o que implica que a organização deve ter cautela e agir proativamente para mitigar potenciais vulnerabilidades. Com um foco equilibrado e um plano direcionado de melhorias, a organização pode avançar em sua jornada de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