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03:51:50</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índice de maturidade que indica um estágio intermediário de desenvolvimento. A presença de um equilíbrio moderado entre as pontuações dos domínios sugere que, embora haja áreas de desempenho variado, a governança de dados ainda se mantém relativamente estável. Contudo, as discrepâncias notáveis entre os domínios sinalizam a necessidade de atenção a certos aspectos.</w:t>
      </w:r>
    </w:p>
    <w:p>
      <w:r>
        <w:t>Os domínios com desempenho inferior à média devem receber prioridade para melhorias. Focar no aprimoramento dos processos, na definição clara de papéis e responsabilidades, na implementação de padrões consistentes e no monitoramento contínuo pode ajudar a elevar a maturidade geral. A exposição a riscos é impulsionada pelas áreas de menor maturidade, o que reforça a importância de abordar essas lacunas para garantir uma governança de dados robusta e eficaz.</w:t>
      </w:r>
    </w:p>
    <w:p>
      <w:r>
        <w:t>Recomenda-se a adoção de uma abordagem incremental, com ênfase na consistência e na escalabilidade das práticas de governança. Essas ações não apenas fortalecerão a estrutura existente, mas também proporcionarão uma base sólida para o crescimento futuro.</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br/>
        <w:b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br/>
        <w:b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br/>
        <w:b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br/>
        <w:b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