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04:04:40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panorama misto, com um índice de maturidade moderado e uma exposição significativa devido aos domínios de menor maturidade. A maioria dos domínios apresenta pontuações que indicam um desempenho razoável, mas há uma discrepância notável em um deles, o que sugere que este domínio requer atenção especial para alcançar um equilíbrio mais eficaz.</w:t>
      </w:r>
    </w:p>
    <w:p>
      <w:r>
        <w:t>Os domínios com desempenho abaixo da média devem ser priorizados para ações de melhoria. Para isso, recomenda-se a implementação de processos claros, definição de papéis e responsabilidades, estabelecimento de padrões consistentes e monitoramento contínuo. Essas práticas ajudarão a fortalecer a governança e a mitigar os riscos associados à exposição gerada pelos domínios menos maduros.</w:t>
      </w:r>
    </w:p>
    <w:p>
      <w:r>
        <w:t>Em suma, a organização está em um estágio de maturidade que permite um desenvolvimento incremental, necessitando de um esforço focado na consistência e escalabilidade dos processos de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