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04:17:13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radar de maturidade em governança de dados revela um cenário com um índice de maturidade moderado e um equilíbrio relativamente baixo entre as diferentes áreas. Embora a maioria dos domínios apresente pontuações dentro de uma faixa aceitável, é evidente que a discrepância entre as áreas possui um impacto significativo no desempenho geral. O domínio de DMD se destaca como o mais maduro, enquanto os outros domínios apresentam pontuações consideravelmente inferiores, indicando uma falta de uniformidade que deve ser abordada.</w:t>
      </w:r>
    </w:p>
    <w:p>
      <w:r>
        <w:t>A exposição ao risco é impulsionada pelos domínios de menor maturidade, sugerindo que a organização deve priorizar melhorias nessas áreas. Para avançar, recomenda-se focar em estabelecer processos claros, definir papéis e responsabilidades, implementar padrões consistentes e criar um sistema de monitoramento eficaz. Essas ações ajudarão a elevar a maturidade dos domínios com desempenho inferior e a promover um ambiente de governança mais robusto.</w:t>
      </w:r>
    </w:p>
    <w:p>
      <w:r>
        <w:t>Dada a situação atual, priorizar a consistência e a escalabilidade nas práticas de governança de dados é essencial para otimizar o valor dos ativos de dados e mitigar riscos associados.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