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Relatório Consolidado do Projeto DOMMx</w:t>
      </w:r>
    </w:p>
    <w:p>
      <w:r>
        <w:rPr>
          <w:sz w:val="32"/>
        </w:rPr>
        <w:t>Modelo Operacional e Maturidade de Dados</w:t>
      </w:r>
    </w:p>
    <w:p/>
    <w:p>
      <w:r>
        <w:rPr>
          <w:b/>
        </w:rPr>
        <w:t xml:space="preserve">Projeto: </w:t>
      </w:r>
      <w:r>
        <w:t>teste 1</w:t>
      </w:r>
      <w:r>
        <w:t xml:space="preserve"> </w:t>
      </w:r>
      <w:r>
        <w:t>(ID: 986bfe9c-b2fa-46b7-b644-077b19e3aa1e)</w:t>
      </w:r>
    </w:p>
    <w:p>
      <w:r>
        <w:rPr>
          <w:b/>
        </w:rPr>
        <w:t xml:space="preserve">Escopo: </w:t>
      </w:r>
      <w:r>
        <w:t>Todos os usuários avaliados</w:t>
      </w:r>
    </w:p>
    <w:p>
      <w:r>
        <w:rPr>
          <w:b/>
        </w:rPr>
        <w:t xml:space="preserve">Usuários incluídos: </w:t>
      </w:r>
      <w:r>
        <w:t>1</w:t>
      </w:r>
    </w:p>
    <w:p>
      <w:r>
        <w:rPr>
          <w:b/>
        </w:rPr>
        <w:t xml:space="preserve">Idioma do relatório: </w:t>
      </w:r>
      <w:r>
        <w:t>pt</w:t>
      </w:r>
    </w:p>
    <w:p>
      <w:r>
        <w:rPr>
          <w:b/>
        </w:rPr>
        <w:t xml:space="preserve">Gerado (UTC): </w:t>
      </w:r>
      <w:r>
        <w:t>2026-03-06 11:49:20</w:t>
      </w:r>
    </w:p>
    <w:p/>
    <w:p>
      <w:pPr>
        <w:spacing w:after="120"/>
      </w:pPr>
      <w:r>
        <w:t>Este relatório constitui a aplicação operacional do DOMMx por meio de um assessment estruturado por domínio.</w:t>
        <w:br/>
        <w:br/>
        <w:t>Para cada domínio avaliado, o documento apresenta o nível atual de maturidade e define o conjunto estruturado de ações necessárias para evoluir ao próximo nível.</w:t>
        <w:br/>
        <w:br/>
        <w:t>O conteúdo é prescritivo e orientado à construção e fortalecimento de artefatos de governança de dados, devendo ser utilizado como base técnica para documentar, institucionalizar e aprimorar práticas de governança de forma proporcional ao nível identificado.</w:t>
        <w:br/>
      </w:r>
    </w:p>
    <w:p>
      <w:r>
        <w:br w:type="page"/>
      </w:r>
    </w:p>
    <w:p>
      <w:r>
        <w:rPr>
          <w:b/>
          <w:sz w:val="36"/>
        </w:rPr>
        <w:t>How to Use This Report</w:t>
      </w:r>
    </w:p>
    <w:p/>
    <w:p>
      <w:pPr>
        <w:spacing w:after="120"/>
      </w:pPr>
      <w:r>
        <w:t>Este relatório deve ser utilizado como guia técnico para a evolução estruturada da governança de dados por domínio.</w:t>
        <w:br/>
        <w:br/>
        <w:t>Com base no nível de maturidade identificado no assessment, o DOMMx aciona pacotes prescritivos que definem o que deve ser construído, formalizado ou fortalecido para viabilizar a progressão ao próximo estágio.</w:t>
        <w:br/>
        <w:br/>
        <w:t>A aplicação prática deste relatório envolve:</w:t>
        <w:br/>
        <w:br/>
        <w:t>1. Construir artefatos formais quando inexistentes ou insuficientes</w:t>
        <w:br/>
        <w:t>2. Padronizar e documentar práticas quando parcialmente estruturadas</w:t>
        <w:br/>
        <w:t>3. Integrar e institucionalizar mecanismos quando já definidos</w:t>
        <w:br/>
        <w:t>4. Preparar o domínio para gestão mensurável nos ciclos subsequentes</w:t>
        <w:br/>
        <w:br/>
        <w:t>Cada seção por domínio deve ser convertida em documentação formal adaptada ao contexto organizacional específico, mantendo a estrutura proposta e contextualizando o conteúdo técnico conforme a realidade do domínio avaliado.</w:t>
        <w:br/>
        <w:br/>
        <w:t xml:space="preserve">Este relatório não é meramente descritivo. Seu propósito é orientar ação estruturada e progressão de maturidade.  </w:t>
        <w:br/>
      </w:r>
    </w:p>
    <w:p>
      <w:r>
        <w:br w:type="page"/>
      </w:r>
    </w:p>
    <w:p>
      <w:r>
        <w:rPr>
          <w:b/>
          <w:sz w:val="40"/>
        </w:rPr>
        <w:t>Sumário</w:t>
      </w:r>
    </w:p>
    <w:p/>
    <w:p>
      <w:r>
        <w:fldChar w:fldCharType="begin"/>
        <w:instrText xml:space="preserve">TOC \o "1-3" \h \z \u</w:instrText>
        <w:fldChar w:fldCharType="separate"/>
        <w:fldChar w:fldCharType="end"/>
      </w:r>
    </w:p>
    <w:p/>
    <w:p>
      <w:r>
        <w:br w:type="page"/>
      </w:r>
    </w:p>
    <w:p>
      <w:pPr>
        <w:pStyle w:val="Heading1"/>
      </w:pPr>
      <w:r>
        <w:t>1. Resultados da Avaliação</w:t>
      </w:r>
    </w:p>
    <w:p>
      <w:pPr>
        <w:spacing w:after="120"/>
      </w:pPr>
      <w:r>
        <w:t>O blueprint e as orientações prescritivas apresentados neste relatório seguem estritamente a estrutura de domínios avaliada e os níveis de maturidade obtidos no ciclo atual de avaliação. Não representam necessariamente a totalidade do modelo operacional DOMMx nem o escopo completo de qualquer framework de governança de dados referenciado.</w:t>
        <w:br/>
      </w:r>
    </w:p>
    <w:p>
      <w:pPr>
        <w:spacing w:after="120"/>
      </w:pPr>
      <w:r>
        <w:t>Esta seção apresenta os resultados de maturidade por domínio, incluindo as pontuações por questão, as médias calculadas por domínio e o nível final de maturidade do domínio. O nível de maturidade é calculado como floor(AVG).</w:t>
        <w:br/>
      </w:r>
    </w:p>
    <w:p>
      <w:pPr>
        <w:jc w:val="center"/>
      </w:pPr>
      <w:r>
        <w:drawing>
          <wp:inline xmlns:a="http://schemas.openxmlformats.org/drawingml/2006/main" xmlns:pic="http://schemas.openxmlformats.org/drawingml/2006/picture">
            <wp:extent cx="342900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29000" cy="3429000"/>
                    </a:xfrm>
                    <a:prstGeom prst="rect"/>
                  </pic:spPr>
                </pic:pic>
              </a:graphicData>
            </a:graphic>
          </wp:inline>
        </w:drawing>
      </w:r>
    </w:p>
    <w:p>
      <w:r>
        <w:rPr>
          <w:b/>
        </w:rPr>
        <w:t>Análise do gráfico radar</w:t>
      </w:r>
    </w:p>
    <w:p>
      <w:r>
        <w:t>A análise do gráfico de maturidade de governança de dados revela uma situação em que a pontuação média apresenta uma disparidade significativa, especialmente nas áreas relacionadas à governança de dados, análise de dados e gerenciamento de dados mestres. A pontuação em gerenciamento de dados mestres é notavelmente superior, sugerindo que esta área está bem desenvolvida em comparação com as outras. Isso indica que a organização pode estar se beneficiando de uma estrutura sólida para a gestão de dados, mas a governança de dados e a análise de dados requerem atenção.</w:t>
      </w:r>
    </w:p>
    <w:p>
      <w:r>
        <w:t>Os domínios que estão abaixo da média devem ser priorizados para melhorar a maturidade geral da governança de dados. Para isso, a organização deve considerar o fortalecimento de processos, definição clara de papéis e responsabilidades, estabelecimento de padrões de qualidade e implementação de mecanismos de monitoramento eficazes. Essas ações ajudarão a mitigar a exposição gerada pelas áreas de menor maturidade, que têm um impacto significativo no risco geral.</w:t>
      </w:r>
    </w:p>
    <w:p>
      <w:r>
        <w:t>Com um foco contínuo em consistência e escalabilidade, a organização poderá avançar para uma governança de dados mais robusta e integrada, promovendo uma melhor utilização dos dados em todas as suas operações.</w:t>
      </w:r>
    </w:p>
    <w:p/>
    <w:p>
      <w:pPr>
        <w:pStyle w:val="Heading2"/>
      </w:pPr>
      <w:r>
        <w:t>1.1 Resumo por Domínio</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Domínio</w:t>
            </w:r>
          </w:p>
        </w:tc>
        <w:tc>
          <w:tcPr>
            <w:tcW w:type="dxa" w:w="1728"/>
          </w:tcPr>
          <w:p>
            <w:r>
              <w:t>Nome do Domínio</w:t>
            </w:r>
          </w:p>
        </w:tc>
        <w:tc>
          <w:tcPr>
            <w:tcW w:type="dxa" w:w="1728"/>
          </w:tcPr>
          <w:p>
            <w:r>
              <w:t>AVG</w:t>
            </w:r>
          </w:p>
        </w:tc>
        <w:tc>
          <w:tcPr>
            <w:tcW w:type="dxa" w:w="1728"/>
          </w:tcPr>
          <w:p>
            <w:r>
              <w:t>Nível Final (floor)</w:t>
            </w:r>
          </w:p>
        </w:tc>
        <w:tc>
          <w:tcPr>
            <w:tcW w:type="dxa" w:w="1728"/>
          </w:tcPr>
          <w:p>
            <w:r>
              <w:t>Nível de Maturidade</w:t>
            </w:r>
          </w:p>
        </w:tc>
      </w:tr>
      <w:tr>
        <w:tc>
          <w:tcPr>
            <w:tcW w:type="dxa" w:w="1728"/>
          </w:tcPr>
          <w:p>
            <w:r>
              <w:t>DG</w:t>
            </w:r>
          </w:p>
        </w:tc>
        <w:tc>
          <w:tcPr>
            <w:tcW w:type="dxa" w:w="1728"/>
          </w:tcPr>
          <w:p>
            <w:r>
              <w:t>Data Governance</w:t>
            </w:r>
          </w:p>
        </w:tc>
        <w:tc>
          <w:tcPr>
            <w:tcW w:type="dxa" w:w="1728"/>
          </w:tcPr>
          <w:p>
            <w:r>
              <w:t>1.50</w:t>
            </w:r>
          </w:p>
        </w:tc>
        <w:tc>
          <w:tcPr>
            <w:tcW w:type="dxa" w:w="1728"/>
          </w:tcPr>
          <w:p>
            <w:r>
              <w:t>1</w:t>
            </w:r>
          </w:p>
        </w:tc>
        <w:tc>
          <w:tcPr>
            <w:tcW w:type="dxa" w:w="1728"/>
          </w:tcPr>
          <w:p>
            <w:r>
              <w:t>Ad-hoc</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r>
        <w:tc>
          <w:tcPr>
            <w:tcW w:type="dxa" w:w="1728"/>
          </w:tcPr>
          <w:p>
            <w:r>
              <w:t>DMD</w:t>
            </w:r>
          </w:p>
        </w:tc>
        <w:tc>
          <w:tcPr>
            <w:tcW w:type="dxa" w:w="1728"/>
          </w:tcPr>
          <w:p>
            <w:r>
              <w:t>Data Modelling and Design</w:t>
            </w:r>
          </w:p>
        </w:tc>
        <w:tc>
          <w:tcPr>
            <w:tcW w:type="dxa" w:w="1728"/>
          </w:tcPr>
          <w:p>
            <w:r>
              <w:t>5.00</w:t>
            </w:r>
          </w:p>
        </w:tc>
        <w:tc>
          <w:tcPr>
            <w:tcW w:type="dxa" w:w="1728"/>
          </w:tcPr>
          <w:p>
            <w:r>
              <w:t>5</w:t>
            </w:r>
          </w:p>
        </w:tc>
        <w:tc>
          <w:tcPr>
            <w:tcW w:type="dxa" w:w="1728"/>
          </w:tcPr>
          <w:p>
            <w:r>
              <w:t>Otimizado</w:t>
            </w:r>
          </w:p>
        </w:tc>
      </w:tr>
    </w:tbl>
    <w:p/>
    <w:p>
      <w:pPr>
        <w:pStyle w:val="Heading2"/>
      </w:pPr>
      <w:r>
        <w:t>1.2 DG · Data Governance</w:t>
      </w:r>
    </w:p>
    <w:p>
      <w:pPr>
        <w:spacing w:after="120"/>
      </w:pPr>
      <w:r>
        <w:t>O nível de maturidade do domínio é calculado como floor(AVG). Nível final: 1 (Ad-hoc).</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2.00</w:t>
            </w:r>
          </w:p>
        </w:tc>
        <w:tc>
          <w:tcPr>
            <w:tcW w:type="dxa" w:w="2160"/>
          </w:tcPr>
          <w:p>
            <w:r>
              <w:t>Emergente</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Regra de pontuação: AVG = média das pontuações das questões. Maturidade final = floor(AVG).</w:t>
      </w:r>
    </w:p>
    <w:p/>
    <w:p>
      <w:pPr>
        <w:pStyle w:val="Heading2"/>
      </w:pPr>
      <w:r>
        <w:t>1.3 DA · Data Architecture</w:t>
      </w:r>
    </w:p>
    <w:p>
      <w:pPr>
        <w:spacing w:after="120"/>
      </w:pPr>
      <w:r>
        <w:t>O nível de maturidade do domínio é calculado como floor(AVG). Nível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3.00</w:t>
            </w:r>
          </w:p>
        </w:tc>
        <w:tc>
          <w:tcPr>
            <w:tcW w:type="dxa" w:w="2160"/>
          </w:tcPr>
          <w:p>
            <w:r>
              <w:t>Definido</w:t>
            </w:r>
          </w:p>
        </w:tc>
        <w:tc>
          <w:tcPr>
            <w:tcW w:type="dxa" w:w="2160"/>
          </w:tcPr>
          <w:p>
            <w:r/>
          </w:p>
        </w:tc>
      </w:tr>
    </w:tbl>
    <w:p>
      <w:pPr>
        <w:spacing w:after="120"/>
      </w:pPr>
      <w:r>
        <w:t>Regra de pontuação: AVG = média das pontuações das questões. Maturidade final = floor(AVG).</w:t>
      </w:r>
    </w:p>
    <w:p/>
    <w:p>
      <w:pPr>
        <w:pStyle w:val="Heading2"/>
      </w:pPr>
      <w:r>
        <w:t>1.4 DMD · Data Modelling and Design</w:t>
      </w:r>
    </w:p>
    <w:p>
      <w:pPr>
        <w:spacing w:after="120"/>
      </w:pPr>
      <w:r>
        <w:t>O nível de maturidade do domínio é calculado como floor(AVG). Nível final: 5 (Otimizado).</w:t>
      </w:r>
    </w:p>
    <w:tbl>
      <w:tblPr>
        <w:tblW w:type="auto" w:w="0"/>
        <w:tblLook w:firstColumn="1" w:firstRow="1" w:lastColumn="0" w:lastRow="0" w:noHBand="0" w:noVBand="1" w:val="04A0"/>
      </w:tblPr>
      <w:tblGrid>
        <w:gridCol w:w="2160"/>
        <w:gridCol w:w="2160"/>
        <w:gridCol w:w="2160"/>
        <w:gridCol w:w="2160"/>
      </w:tblGrid>
      <w:tr>
        <w:tc>
          <w:tcPr>
            <w:tcW w:type="dxa" w:w="2160"/>
          </w:tcPr>
          <w:p>
            <w:r>
              <w:t>Questão</w:t>
            </w:r>
          </w:p>
        </w:tc>
        <w:tc>
          <w:tcPr>
            <w:tcW w:type="dxa" w:w="2160"/>
          </w:tcPr>
          <w:p>
            <w:r>
              <w:t>Pontuação</w:t>
            </w:r>
          </w:p>
        </w:tc>
        <w:tc>
          <w:tcPr>
            <w:tcW w:type="dxa" w:w="2160"/>
          </w:tcPr>
          <w:p>
            <w:r>
              <w:t>Nível Mais Próximo</w:t>
            </w:r>
          </w:p>
        </w:tc>
        <w:tc>
          <w:tcPr>
            <w:tcW w:type="dxa" w:w="2160"/>
          </w:tcPr>
          <w:p>
            <w:r>
              <w:t>Observações</w:t>
            </w:r>
          </w:p>
        </w:tc>
      </w:tr>
      <w:tr>
        <w:tc>
          <w:tcPr>
            <w:tcW w:type="dxa" w:w="2160"/>
          </w:tcPr>
          <w:p>
            <w:r>
              <w:t>Q1</w:t>
            </w:r>
          </w:p>
        </w:tc>
        <w:tc>
          <w:tcPr>
            <w:tcW w:type="dxa" w:w="2160"/>
          </w:tcPr>
          <w:p>
            <w:r>
              <w:t>5.00</w:t>
            </w:r>
          </w:p>
        </w:tc>
        <w:tc>
          <w:tcPr>
            <w:tcW w:type="dxa" w:w="2160"/>
          </w:tcPr>
          <w:p>
            <w:r>
              <w:t>Otimizado</w:t>
            </w:r>
          </w:p>
        </w:tc>
        <w:tc>
          <w:tcPr>
            <w:tcW w:type="dxa" w:w="2160"/>
          </w:tcPr>
          <w:p>
            <w:r/>
          </w:p>
        </w:tc>
      </w:tr>
      <w:tr>
        <w:tc>
          <w:tcPr>
            <w:tcW w:type="dxa" w:w="2160"/>
          </w:tcPr>
          <w:p>
            <w:r>
              <w:t>Q2</w:t>
            </w:r>
          </w:p>
        </w:tc>
        <w:tc>
          <w:tcPr>
            <w:tcW w:type="dxa" w:w="2160"/>
          </w:tcPr>
          <w:p>
            <w:r>
              <w:t>5.00</w:t>
            </w:r>
          </w:p>
        </w:tc>
        <w:tc>
          <w:tcPr>
            <w:tcW w:type="dxa" w:w="2160"/>
          </w:tcPr>
          <w:p>
            <w:r>
              <w:t>Otimizado</w:t>
            </w:r>
          </w:p>
        </w:tc>
        <w:tc>
          <w:tcPr>
            <w:tcW w:type="dxa" w:w="2160"/>
          </w:tcPr>
          <w:p>
            <w:r/>
          </w:p>
        </w:tc>
      </w:tr>
    </w:tbl>
    <w:p>
      <w:pPr>
        <w:spacing w:after="120"/>
      </w:pPr>
      <w:r>
        <w:t>Regra de pontuação: AVG = média das pontuações das questões. Maturidade final = floor(AVG).</w:t>
      </w:r>
    </w:p>
    <w:p>
      <w:r>
        <w:br w:type="page"/>
      </w:r>
    </w:p>
    <w:p>
      <w:pPr>
        <w:pStyle w:val="Heading1"/>
      </w:pPr>
      <w:r>
        <w:t>2. Dependências Estruturais e Inconsistências</w:t>
      </w:r>
    </w:p>
    <w:p>
      <w:pPr>
        <w:spacing w:after="120"/>
      </w:pPr>
      <w:r>
        <w:t>Esta seção documenta as dependências estruturais entre domínios e destaca possíveis rupturas de dependência ou incoerências de maturidade identificadas. As dependências declaradas são derivadas da definição de fluxo do projeto e as orientações de remediação são baseadas na base de conhecimento de inconsistências.</w:t>
        <w:br/>
      </w:r>
    </w:p>
    <w:p>
      <w:pPr>
        <w:spacing w:after="120"/>
      </w:pPr>
    </w:p>
    <w:p>
      <w:pPr>
        <w:pStyle w:val="Heading2"/>
      </w:pPr>
      <w:r>
        <w:t>2.1 Dependências Declaradas (fluxo do projeto)</w:t>
      </w:r>
    </w:p>
    <w:p>
      <w:pPr>
        <w:pStyle w:val="Heading3"/>
      </w:pPr>
      <w:r>
        <w:t>DG · Data Governance</w:t>
      </w:r>
    </w:p>
    <w:p>
      <w:pPr>
        <w:spacing w:after="120"/>
      </w:pPr>
      <w:r>
        <w:t>Dependências declaradas:</w:t>
      </w:r>
    </w:p>
    <w:p>
      <w:pPr>
        <w:pStyle w:val="ListBullet"/>
      </w:pPr>
      <w:r>
        <w:t>DG · Data Governance (grade 1 · Ad-hoc)</w:t>
      </w:r>
    </w:p>
    <w:p>
      <w:pPr>
        <w:pStyle w:val="Heading3"/>
      </w:pPr>
      <w:r>
        <w:t>DA · Data Architecture</w:t>
      </w:r>
    </w:p>
    <w:p>
      <w:pPr>
        <w:spacing w:after="120"/>
      </w:pPr>
      <w:r>
        <w:t>Dependências declaradas:</w:t>
      </w:r>
    </w:p>
    <w:p>
      <w:pPr>
        <w:pStyle w:val="ListBullet"/>
      </w:pPr>
      <w:r>
        <w:t>DG · Data Governance (grade 1 · Ad-hoc)</w:t>
      </w:r>
    </w:p>
    <w:p>
      <w:pPr>
        <w:pStyle w:val="Heading3"/>
      </w:pPr>
      <w:r>
        <w:t>DMD · Data Modelling and Design</w:t>
      </w:r>
    </w:p>
    <w:p>
      <w:pPr>
        <w:spacing w:after="120"/>
      </w:pPr>
      <w:r>
        <w:t>Dependências declaradas:</w:t>
      </w:r>
    </w:p>
    <w:p>
      <w:pPr>
        <w:pStyle w:val="ListBullet"/>
      </w:pPr>
      <w:r>
        <w:t>DG · Data Governance (grade 1 · Ad-hoc)</w:t>
      </w:r>
    </w:p>
    <w:p>
      <w:pPr>
        <w:pStyle w:val="ListBullet"/>
      </w:pPr>
      <w:r>
        <w:t>DA · Data Architecture (grade 3 · Definido)</w:t>
      </w:r>
    </w:p>
    <w:p/>
    <w:p>
      <w:pPr>
        <w:pStyle w:val="Heading2"/>
      </w:pPr>
      <w:r>
        <w:t>2.2 Rupturas de Dependência Detectadas e Orientações de Remediação</w:t>
      </w:r>
    </w:p>
    <w:p/>
    <w:p>
      <w:pPr>
        <w:pStyle w:val="Heading3"/>
      </w:pPr>
      <w:r>
        <w:t>2.2.1 - DA ·  depende de DG ·</w:t>
      </w:r>
    </w:p>
    <w:p>
      <w:pPr>
        <w:spacing w:after="120"/>
      </w:pPr>
      <w:r>
        <w:t>Justificativa de severidade: A dependência estrutural entre DA e DG é classificada como Crítica devido à profundidade da dependência 2 e centralidade estrutural 10, indicando potencial de propagação sistêmica se desalinhada.</w:t>
      </w:r>
    </w:p>
    <w:p>
      <w:pPr>
        <w:spacing w:after="120"/>
      </w:pPr>
      <w:r>
        <w:t>• Explicação da Dependência Estrutural Central</w:t>
        <w:br/>
        <w:t>Data Architecture (DA) serve como a estrutura fundamental que define como os dados são coletados, armazenados, processados e utilizados dentro de uma organização. Abrange modelos de dados, soluções de armazenamento e mecanismos de integração. Data Governance (DG), por outro lado, estabelece as políticas, padrões e procedimentos que garantem a qualidade, segurança e conformidade dos dados. A dependência entre DA e DG é crítica; uma arquitetura de dados eficaz deve alinhar-se com as políticas de governança para garantir que os dados não sejam apenas acessíveis, mas também confiáveis e em conformidade com os requisitos regulatórios. Essa interdependência garante que os ativos de dados sejam gerenciados de forma eficaz ao longo de seu ciclo de vida.</w:t>
      </w:r>
    </w:p>
    <w:p>
      <w:pPr>
        <w:spacing w:after="120"/>
      </w:pPr>
      <w:r>
        <w:t>• Padrões Típicos de Desequilíbrio Entre Esses Domínios</w:t>
        <w:br/>
        <w:t>Desequilíbrios comuns surgem quando DA evolui sem atualizações correspondentes em DG, levando a desalinhamentos nas práticas de manuseio de dados. Por exemplo, a adoção rápida de novas tecnologias ou fontes de dados em DA pode ultrapassar o estabelecimento de estruturas de governança, resultando em silos de dados, definições de dados inconsistentes e riscos de conformidade. Por outro lado, uma governança excessivamente rigorosa pode sufocar a inovação em DA, levando à subutilização dos ativos de dados e a oportunidades perdidas para análises e percepções. Esses desequilíbrios podem criar fricção entre IT e as unidades de negócios, dificultando a eficácia geral da estratégia de dados.</w:t>
      </w:r>
    </w:p>
    <w:p>
      <w:pPr>
        <w:spacing w:after="120"/>
      </w:pPr>
      <w:r>
        <w:t>• Padrão de Arquitetura de Correção Estrutural</w:t>
        <w:br/>
        <w:t>Para abordar esses desequilíbrios, as organizações devem implementar uma arquitetura de correção estrutural que integre DA e DG por meio de um modelo de governança colaborativa. Esse modelo deve incluir equipes multifuncionais que revisem e atualizem regularmente a arquitetura de dados à luz dos requisitos de governança. Estabelecer um programa de gestão de dados pode facilitar a comunicação contínua entre arquitetos de dados e oficiais de governança, garantindo que as decisões arquitetônicas sejam informadas pelas políticas de governança. Além disso, a adoção de metodologias ágeis pode ajudar ambos os domínios a se adaptarem a mudanças mais rapidamente, promovendo uma cultura de melhoria contínua.</w:t>
      </w:r>
    </w:p>
    <w:p>
      <w:pPr>
        <w:spacing w:after="120"/>
      </w:pPr>
      <w:r>
        <w:t>• Lógica de Risco em Cascata e Degradação da Governança</w:t>
        <w:br/>
        <w:t>Quando o alinhamento entre DA e DG é comprometido, surgem riscos em cascata que podem levar à degradação da governança. A baixa qualidade dos dados resultante de mudanças arquitetônicas não governadas pode levar a percepções errôneas, impactando os processos de tomada de decisão. Essa degradação pode escalar riscos de conformidade, resultando em possíveis penalidades legais e danos à reputação. Além disso, à medida que a confiança nos dados diminui, a dependência organizacional em estratégias baseadas em dados pode declinar, minando, em última análise, o valor dos dados como um ativo estratégico. Para mitigar esses riscos, as organizações devem priorizar a integração de DA e DG, garantindo que as estruturas de governança sejam incorporadas ao processo de design arquitetônico.</w:t>
      </w:r>
    </w:p>
    <w:p/>
    <w:p>
      <w:pPr>
        <w:pStyle w:val="Heading3"/>
      </w:pPr>
      <w:r>
        <w:t>2.2.2 - DMD ·  depende de DA ·</w:t>
      </w:r>
    </w:p>
    <w:p>
      <w:pPr>
        <w:spacing w:after="120"/>
      </w:pPr>
      <w:r>
        <w:t>• Explicação da Dependência Estrutural Central</w:t>
        <w:br/>
        <w:t>Modelagem e Design de Dados (DMD) depende fortemente da Arquitetura de Dados (DA) para estruturas e padrões fundamentais que orientam a criação de modelos de dados. DMD foca na representação de entidades de dados, relacionamentos e restrições, enquanto DA fornece a estrutura abrangente, incluindo armazenamento de dados, integração e metodologias de acesso. O alinhamento de DMD com DA garante que os modelos de dados não sejam apenas teoricamente sólidos, mas também implementáveis na prática dentro das restrições arquitetônicas existentes, promovendo consistência e interoperabilidade entre sistemas.</w:t>
      </w:r>
    </w:p>
    <w:p>
      <w:pPr>
        <w:spacing w:after="120"/>
      </w:pPr>
      <w:r>
        <w:t>• Padrões Típicos de Desequilíbrio Entre Esses Domínios</w:t>
        <w:br/>
        <w:t>Desequilíbrios frequentemente surgem quando DMD opera isoladamente de DA, levando a modelos que são teoricamente robustos, mas desalinhados com as realidades arquitetônicas. Padrões comuns incluem modelos superdimensionados que não consideram implicações de desempenho ou escalabilidade, e modelos mal definidos que carecem de metadados e governança necessários. Além disso, a falta de comunicação pode resultar em modelos de dados que não aderem aos padrões arquitetônicos, causando desafios de integração e silos de dados, dificultando, em última análise, a usabilidade e acessibilidade dos dados.</w:t>
      </w:r>
    </w:p>
    <w:p>
      <w:pPr>
        <w:spacing w:after="120"/>
      </w:pPr>
      <w:r>
        <w:t>• Padrão de Arquitetura de Correção Estrutural</w:t>
        <w:br/>
        <w:t>Para corrigir esses desequilíbrios, deve ser estabelecido um padrão de integração estrutural, onde os processos de DMD sejam incorporados dentro da estrutura de DA. Isso inclui implementar um ciclo de feedback onde arquitetos de dados revisem e validem modelos antes de serem finalizados. Estabelecer um comitê de governança que inclua partes interessadas de ambos os domínios pode facilitar a colaboração contínua, garantindo que os modelos de dados estejam alinhados com os princípios arquitetônicos e que quaisquer desvios sejam documentados e justificados. Workshops e sessões de treinamento regulares também podem aumentar a compreensão e a adesão aos padrões arquitetônicos dentro da equipe de DMD.</w:t>
      </w:r>
    </w:p>
    <w:p>
      <w:pPr>
        <w:spacing w:after="120"/>
      </w:pPr>
      <w:r>
        <w:t>• Lógica de Risco em Cascata e Degradação da Governança</w:t>
        <w:br/>
        <w:t>Quando DMD e DA estão desalinhados, surgem riscos em cascata, incluindo problemas de qualidade de dados, violações de conformidade e aumento de custos operacionais. Modelos de dados mal projetados podem levar a recuperações e processamentos de dados ineficientes, resultando em gargalos de desempenho. A degradação da governança ocorre à medida que definições de dados inconsistentes proliferam, complicando a gestão e a responsabilidade dos dados. Isso pode erodir a confiança nos ativos de dados, levando a decisões baseadas em informações falhas ou incompletas, comprometendo, em última análise, os objetivos organizacionais e iniciativas estratégicas. Estabelecer estruturas de governança robustas que imponham alinhamento entre DMD e DA é essencial para mitigar esses riscos.</w:t>
      </w:r>
    </w:p>
    <w:p/>
    <w:p>
      <w:pPr>
        <w:pStyle w:val="Heading3"/>
      </w:pPr>
      <w:r>
        <w:t>2.2.3 - DMD ·  depende de DG ·</w:t>
      </w:r>
    </w:p>
    <w:p>
      <w:pPr>
        <w:spacing w:after="120"/>
      </w:pPr>
      <w:r>
        <w:t>Justificativa de severidade: A dependência estrutural entre DMD e DG é classificada como Alta devido à profundidade de dependência 3 e centralidade estrutural 7, indicando potencial de propagação sistêmica se desalinhada.</w:t>
      </w:r>
    </w:p>
    <w:p>
      <w:pPr>
        <w:spacing w:after="120"/>
      </w:pPr>
      <w:r>
        <w:t>Assuma que o domínio de referência é estruturalmente mais maduro do que o domínio primário.</w:t>
      </w:r>
    </w:p>
    <w:p>
      <w:pPr>
        <w:spacing w:after="120"/>
      </w:pPr>
      <w:r>
        <w:t>• Explicação da Dependência Estrutural Central</w:t>
        <w:br/>
        <w:t>O domínio primário de DMD e Aprendizado de Máquina (DMDML) depende fortemente dos princípios fundamentais estabelecidos na Modelagem e Design de Dados (DMD). Os algoritmos DMDML requerem conjuntos de dados bem estruturados e de alta qualidade para funcionar efetivamente, necessitando de uma arquitetura de dados robusta que garanta integridade, consistência e acessibilidade dos dados. DMD fornece as estruturas para normalização de dados, design de esquemas e modelagem de entidade-relacionamento, que são críticas para preparar conjuntos de dados que os sistemas DMDML podem aproveitar para treinamento e inferência.</w:t>
        <w:br/>
        <w:br/>
        <w:t>Por outro lado, DMDML pode influenciar DMD ao introduzir novos requisitos e complexidades de dados, como a necessidade de manuseio de dados não estruturados e processamento de dados em tempo real. Essa interdependência cria uma relação cíclica onde os avanços em DMDML podem impulsionar inovações em DMD, necessitando de um alinhamento contínuo entre os dois domínios para garantir desempenho e utilidade ótimos dos dados.</w:t>
      </w:r>
    </w:p>
    <w:p>
      <w:pPr>
        <w:spacing w:after="120"/>
      </w:pPr>
      <w:r>
        <w:t>• Padrões Típicos de Desequilíbrio Entre Esses Domínios</w:t>
        <w:br/>
        <w:t>Desequilíbrios frequentemente surgem quando iniciativas de DMDML superam as capacidades de DMD, levando a dados mal estruturados que prejudicam o desempenho do modelo. Por exemplo, a implantação rápida de modelos de aprendizado de máquina sem governança de dados adequada pode resultar em dependência de conjuntos de dados incompletos ou tendenciosos, o que, por sua vez, afeta a precisão e a equidade dos modelos. Além disso, DMD pode não evoluir rapidamente o suficiente para acomodar as necessidades dinâmicas de dados de DMDML, levando a esquemas desatualizados que não capturam novos tipos de dados ou relacionamentos emergentes.</w:t>
        <w:br/>
        <w:br/>
        <w:t>Outro desequilíbrio comum é a falta de colaboração entre arquitetos de dados e cientistas de dados, resultando em esforços isolados onde os modelos de dados não se alinham com os requisitos práticos das aplicações de DMDML. Esse desalinhamento pode levar a ineficiências, aumento da dívida técnica e, em última análise, decisões subótimas baseadas em interpretações de dados falhas.</w:t>
      </w:r>
    </w:p>
    <w:p>
      <w:pPr>
        <w:spacing w:after="120"/>
      </w:pPr>
      <w:r>
        <w:t>• Padrão de Arquitetura de Correção Estrutural</w:t>
        <w:br/>
        <w:t>Para abordar esses desequilíbrios, um padrão de arquitetura de correção estrutural deve ser implementado que promova a colaboração e ciclos de feedback iterativos entre as equipes de DMDML e DMD. Estabelecer um comitê de governança multifuncional pode facilitar a comunicação regular, garantindo que os modelos de dados sejam continuamente atualizados para refletir as necessidades em evolução dos projetos de DMDML. Este comitê deve priorizar o desenvolvimento de arquiteturas de dados flexíveis que possam acomodar tanto dados estruturados quanto não estruturados, permitindo a integração perfeita de diversas fontes de dados.</w:t>
        <w:br/>
        <w:br/>
        <w:t>Além disso, adotar metodologias ágeis na modelagem de dados pode aumentar a capacidade de resposta às exigências de DMDML. Isso inclui processos de design iterativos, onde os modelos de dados são refinados incrementalmente com base no uso do mundo real e nas métricas de desempenho das aplicações DMDML, garantindo que a governança de dados permaneça alinhada com as necessidades operacionais.</w:t>
      </w:r>
    </w:p>
    <w:p>
      <w:pPr>
        <w:spacing w:after="120"/>
      </w:pPr>
      <w:r>
        <w:t>• Lógica de Risco em Cascata e Degradação da Governança</w:t>
        <w:br/>
        <w:t>O risco em cascata associado a desequilíbrios entre DMDML e DMD se manifesta em várias camadas. Inicialmente, a má qualidade dos dados resultante de modelagem inadequada pode levar a previsões imprecisas do modelo, que podem resultar em decisões empresariais equivocadas. À medida que essas decisões se propagam pela organização, elas podem erodir a confiança em insights baseados em dados, levando a uma cultura de ceticismo em relação às práticas de governança de dados.</w:t>
        <w:br/>
        <w:br/>
        <w:t>Além disso, a degradação da governança ocorre quando a falta de alinhamento resulta em riscos de conformidade, particularmente em indústrias regulamentadas. Práticas inconsistentes de manuseio de dados podem expor as organizações a responsabilidades legais e danos à reputação. Com o tempo, essa degradação pode criar um ciclo de feedback onde a confiança diminuída na governança de dados leva a uma maior negligência das iniciativas de qualidade de dados, acumulando os riscos e, em última análise, comprometendo os objetivos estratégicos da organização.</w:t>
      </w:r>
    </w:p>
    <w:p/>
    <w:p>
      <w:r>
        <w:br w:type="page"/>
      </w:r>
    </w:p>
    <w:p>
      <w:pPr>
        <w:pStyle w:val="Heading1"/>
      </w:pPr>
      <w:r>
        <w:t>3. Blueprint de Domínio e Procedimentos Prescritivos</w:t>
      </w:r>
    </w:p>
    <w:p>
      <w:pPr>
        <w:spacing w:after="120"/>
      </w:pPr>
      <w:r>
        <w:t>Esta seção apresenta o blueprint prescritivo para evolução a partir do nível atual de maturidade. Para cada domínio, é identificado um Código de Ação acionado e seu respectivo pacote de procedimentos de governança é apresentado de forma estruturada.</w:t>
        <w:br/>
      </w:r>
    </w:p>
    <w:p>
      <w:pPr>
        <w:pStyle w:val="Heading2"/>
      </w:pPr>
      <w:r>
        <w:t>3.1 Resultado do Assessment e Direção Estratégica</w:t>
      </w:r>
    </w:p>
    <w:p>
      <w:pPr>
        <w:spacing w:after="120"/>
      </w:pPr>
      <w:r>
        <w:t>O blueprint e os procedimentos prescritivos abaixo refletem exclusivamente os domínios avaliados e seus respectivos níveis de maturidade neste ciclo de avaliação. Não representam necessariamente o escopo completo do modelo DOMMx nem de frameworks externos.</w:t>
        <w:br/>
      </w:r>
    </w:p>
    <w:p>
      <w:pPr>
        <w:spacing w:after="120"/>
      </w:pPr>
      <w:r>
        <w:t>Leitura Executiva:</w:t>
      </w:r>
    </w:p>
    <w:p>
      <w:pPr>
        <w:pStyle w:val="ListBullet"/>
      </w:pPr>
      <w:r>
        <w:t>DG = 1.50 → Nível 1 (Ad-hoc)</w:t>
      </w:r>
    </w:p>
    <w:p>
      <w:pPr>
        <w:pStyle w:val="ListBullet"/>
      </w:pPr>
      <w:r>
        <w:t>DA = 3.00 → Nível 3 (Definido)</w:t>
      </w:r>
    </w:p>
    <w:p>
      <w:pPr>
        <w:pStyle w:val="ListBullet"/>
      </w:pPr>
      <w:r>
        <w:t>DMD = 5.00 → Nível 5 (Otimizado)</w:t>
      </w:r>
    </w:p>
    <w:p>
      <w:pPr>
        <w:pStyle w:val="Heading2"/>
      </w:pPr>
      <w:r>
        <w:t>3.2 Elementos Comuns a Todos os Domínios</w:t>
      </w:r>
    </w:p>
    <w:p>
      <w:pPr>
        <w:spacing w:after="120"/>
      </w:pPr>
      <w:r>
        <w:t>Esta seção define componentes estruturais aplicáveis de forma consistente a todos os domínios,  garantindo coerência, alinhamento de governança e integração institucional.</w:t>
        <w:br/>
      </w:r>
    </w:p>
    <w:p>
      <w:pPr>
        <w:pStyle w:val="Heading3"/>
      </w:pPr>
      <w:r>
        <w:t>3.2.1 Estrutura Padrão de Artefato de Governança</w:t>
      </w:r>
    </w:p>
    <w:p>
      <w:pPr>
        <w:spacing w:after="120"/>
      </w:pPr>
      <w:r>
        <w:t>Todo artefato de governança deve seguir um modelo estrutural padronizado para assegurar  consistência, rastreabilidade e auditabilidade.</w:t>
        <w:br/>
      </w:r>
    </w:p>
    <w:p>
      <w:pPr>
        <w:pStyle w:val="Heading4"/>
      </w:pPr>
      <w:r>
        <w:t>3.2.1.1 Controle de Documentos</w:t>
      </w:r>
    </w:p>
    <w:p>
      <w:r>
        <w:rPr>
          <w:b/>
        </w:rPr>
        <w:t xml:space="preserve">Propósito: </w:t>
      </w:r>
      <w:r>
        <w:t>Estabelecer a versão, aprovação e histórico do documento.</w:t>
      </w:r>
    </w:p>
    <w:p>
      <w:r>
        <w:rPr>
          <w:b/>
        </w:rPr>
        <w:t xml:space="preserve">Conteúdo Esperado: </w:t>
      </w:r>
      <w:r>
        <w:t>Título, versão, status, autoridade de aprovação e histórico de revisões.</w:t>
      </w:r>
    </w:p>
    <w:p>
      <w:pPr>
        <w:pStyle w:val="Heading4"/>
      </w:pPr>
      <w:r>
        <w:t>Elementos de Exemplo</w:t>
      </w:r>
    </w:p>
    <w:p>
      <w:pPr>
        <w:pStyle w:val="Heading4"/>
      </w:pPr>
      <w:r>
        <w:t>Título do Documento: Registro de Requisitos de Propriedade e Responsabilidades da Governança de Dados</w:t>
      </w:r>
    </w:p>
    <w:p>
      <w:pPr>
        <w:pStyle w:val="Heading4"/>
      </w:pPr>
      <w:r>
        <w:t>Versão e Status: Versão 1.0, Rascunho</w:t>
      </w:r>
    </w:p>
    <w:p>
      <w:pPr>
        <w:pStyle w:val="Heading4"/>
      </w:pPr>
      <w:r>
        <w:t>Autoridade de Aprovação: Conselho de Governança de Dados</w:t>
      </w:r>
    </w:p>
    <w:p>
      <w:pPr>
        <w:pStyle w:val="Heading4"/>
      </w:pPr>
      <w:r>
        <w:t>Histórico de Revisões: Criação inicial em [Data], por [Autor].</w:t>
      </w:r>
    </w:p>
    <w:p>
      <w:pPr>
        <w:pStyle w:val="Heading4"/>
      </w:pPr>
      <w:r>
        <w:t>3.2.1.2 Resumo Executivo</w:t>
      </w:r>
    </w:p>
    <w:p>
      <w:r>
        <w:rPr>
          <w:b/>
        </w:rPr>
        <w:t xml:space="preserve">Propósito: </w:t>
      </w:r>
      <w:r>
        <w:t>Fornecer uma visão geral de alto nível da intenção e importância do documento.</w:t>
      </w:r>
    </w:p>
    <w:p>
      <w:r>
        <w:rPr>
          <w:b/>
        </w:rPr>
        <w:t xml:space="preserve">Conteúdo Esperado: </w:t>
      </w:r>
      <w:r>
        <w:t>Resumo da ação, sua importância e resultados esperados.</w:t>
      </w:r>
    </w:p>
    <w:p>
      <w:r>
        <w:rPr>
          <w:b/>
        </w:rPr>
        <w:t xml:space="preserve">Elementos de Exemplo: </w:t>
      </w:r>
      <w:r>
        <w:t>Este documento descreve os requisitos para atribuir propriedade e responsabilidades de governança, garantindo alinhamento com a estrutura DAMA.</w:t>
      </w:r>
    </w:p>
    <w:p>
      <w:pPr>
        <w:pStyle w:val="Heading4"/>
      </w:pPr>
      <w:r>
        <w:t>3.2.1.3 Apêndices</w:t>
      </w:r>
    </w:p>
    <w:p>
      <w:r>
        <w:rPr>
          <w:b/>
        </w:rPr>
        <w:t xml:space="preserve">Propósito: </w:t>
      </w:r>
      <w:r>
        <w:t>Fornecer materiais suplementares que apoiem o documento.</w:t>
      </w:r>
    </w:p>
    <w:p>
      <w:r>
        <w:rPr>
          <w:b/>
        </w:rPr>
        <w:t xml:space="preserve">Conteúdo Esperado: </w:t>
      </w:r>
      <w:r>
        <w:t>Modelos, normas de referência e artefatos de apoio.</w:t>
      </w:r>
    </w:p>
    <w:p>
      <w:pPr>
        <w:pStyle w:val="Heading4"/>
      </w:pPr>
      <w:r>
        <w:t>Elementos de Exemplo</w:t>
      </w:r>
    </w:p>
    <w:p>
      <w:pPr>
        <w:pStyle w:val="Heading4"/>
      </w:pPr>
      <w:r>
        <w:t>Modelos: Modelo de registro de requisitos.</w:t>
      </w:r>
    </w:p>
    <w:p>
      <w:pPr>
        <w:pStyle w:val="Heading4"/>
      </w:pPr>
      <w:r>
        <w:t>Normas de Referência: Estrutura DAMA-DMBOK.</w:t>
      </w:r>
    </w:p>
    <w:p>
      <w:pPr>
        <w:pStyle w:val="Heading4"/>
      </w:pPr>
      <w:r>
        <w:t>Artefatos de Apoio: Documentos anteriores de política de governança.</w:t>
      </w:r>
    </w:p>
    <w:p>
      <w:pPr>
        <w:pStyle w:val="Heading3"/>
      </w:pPr>
      <w:r>
        <w:t>3.2.2 Elementos Estruturais Transversais</w:t>
      </w:r>
    </w:p>
    <w:p>
      <w:pPr>
        <w:spacing w:after="120"/>
      </w:pPr>
      <w:r>
        <w:t>Estes elementos estruturais transversais aplicam-se a todos os domínios, assegurando  alinhamento organizacional, responsabilização e integração de controles.</w:t>
        <w:br/>
      </w:r>
    </w:p>
    <w:p>
      <w:pPr>
        <w:pStyle w:val="Heading4"/>
      </w:pPr>
      <w:r>
        <w:t>3.2.2.1 Definição de Domínio e Contexto</w:t>
      </w:r>
    </w:p>
    <w:p>
      <w:r>
        <w:rPr>
          <w:b/>
        </w:rPr>
        <w:t xml:space="preserve">Propósito: </w:t>
      </w:r>
      <w:r>
        <w:t>Definir o domínio da governança e contextualizar o documento dentro da organização.</w:t>
      </w:r>
    </w:p>
    <w:p>
      <w:r>
        <w:rPr>
          <w:b/>
        </w:rPr>
        <w:t xml:space="preserve">Conteúdo Esperado: </w:t>
      </w:r>
      <w:r>
        <w:t>Definição do domínio, contexto organizacional e posicionamento de maturidade.</w:t>
      </w:r>
    </w:p>
    <w:p>
      <w:pPr>
        <w:pStyle w:val="Heading4"/>
      </w:pPr>
      <w:r>
        <w:t>Elementos de Exemplo</w:t>
      </w:r>
    </w:p>
    <w:p>
      <w:pPr>
        <w:pStyle w:val="Heading4"/>
      </w:pPr>
      <w:r>
        <w:t>Definição do Domínio: Governança de Dados (DG)</w:t>
      </w:r>
    </w:p>
    <w:p>
      <w:pPr>
        <w:pStyle w:val="Heading4"/>
      </w:pPr>
      <w:r>
        <w:t>Contexto Organizacional: [Descrição breve do cenário de governança de dados da organização]</w:t>
      </w:r>
    </w:p>
    <w:p>
      <w:pPr>
        <w:pStyle w:val="Heading4"/>
      </w:pPr>
      <w:r>
        <w:t>Posicionamento de Maturidade: Pontuação 1 - Inicial</w:t>
      </w:r>
    </w:p>
    <w:p>
      <w:pPr>
        <w:pStyle w:val="Heading4"/>
      </w:pPr>
      <w:r>
        <w:t>3.2.2.2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4"/>
      </w:pPr>
      <w:r>
        <w:t>Elementos de Exemplo</w:t>
      </w:r>
    </w:p>
    <w:p>
      <w:pPr>
        <w:pStyle w:val="Heading4"/>
      </w:pPr>
      <w:r>
        <w:t>Código e Título da Ação: DG-02 - Atribuir propriedade e responsabilidades de governança</w:t>
      </w:r>
    </w:p>
    <w:p>
      <w:pPr>
        <w:pStyle w:val="Heading4"/>
      </w:pPr>
      <w:r>
        <w:t>Objetivo da Ação: Estabelecer propriedade e responsabilidades claras para a governança de dados.</w:t>
      </w:r>
    </w:p>
    <w:p>
      <w:pPr>
        <w:pStyle w:val="Heading4"/>
      </w:pPr>
      <w:r>
        <w:t>Limites de Escopo da Ação: Esta ação se aplica a todos os papéis de governança de dados dentro da organização.</w:t>
      </w:r>
    </w:p>
    <w:p>
      <w:pPr>
        <w:pStyle w:val="Heading4"/>
      </w:pPr>
      <w:r>
        <w:t>3.2.2.3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4"/>
      </w:pPr>
      <w:r>
        <w:t>Elementos de Exemplo</w:t>
      </w:r>
    </w:p>
    <w:p>
      <w:pPr>
        <w:pStyle w:val="Heading4"/>
      </w:pPr>
      <w:r>
        <w:t>Objetivo do Procedimento: Consolidar efetivamente os requisitos de política de governança.</w:t>
      </w:r>
    </w:p>
    <w:p>
      <w:pPr>
        <w:pStyle w:val="Heading4"/>
      </w:pPr>
      <w:r>
        <w:t>Pré-requisitos: DG-01 devem estar completos.</w:t>
      </w:r>
    </w:p>
    <w:p>
      <w:pPr>
        <w:pStyle w:val="Heading4"/>
      </w:pPr>
      <w:r>
        <w:t>Entregáveis: Registro de requisitos.</w:t>
      </w:r>
    </w:p>
    <w:p>
      <w:pPr>
        <w:pStyle w:val="Heading4"/>
      </w:pPr>
      <w:r>
        <w:t>Estrutura de Execução Passo a Passo</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3.2.2.4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4"/>
      </w:pPr>
      <w:r>
        <w:t>Elementos de Exemplo</w:t>
      </w:r>
    </w:p>
    <w:p>
      <w:pPr>
        <w:pStyle w:val="Heading4"/>
      </w:pPr>
      <w:r>
        <w:t>Cobertura Organizacional: Todos os papéis de governança de dados estão incluídos.</w:t>
      </w:r>
    </w:p>
    <w:p>
      <w:pPr>
        <w:pStyle w:val="Heading4"/>
      </w:pPr>
      <w:r>
        <w:t>Cobertura de Ativos de Dados: Todos os ativos de dados governados pelo Conselho de Governança de Dados.</w:t>
      </w:r>
    </w:p>
    <w:p>
      <w:pPr>
        <w:pStyle w:val="Heading4"/>
      </w:pPr>
      <w:r>
        <w:t>Temas de Governança: Responsabilidade, autoridade de decisão, curadoria.</w:t>
      </w:r>
    </w:p>
    <w:p>
      <w:pPr>
        <w:pStyle w:val="Heading4"/>
      </w:pPr>
      <w:r>
        <w:t>Estrutura Organizacional de Governança: Conselho de Governança de Dados, Escritório de Governança de Dados, Proprietários de Dados, Curadores de Dados, Custódios de Dados.</w:t>
      </w:r>
    </w:p>
    <w:p>
      <w:pPr>
        <w:pStyle w:val="Heading4"/>
      </w:pPr>
      <w:r>
        <w:t>Modelo de Autoridade de Decisão: Papéis e responsabilidades definidos para a tomada de decisões.</w:t>
      </w:r>
    </w:p>
    <w:p>
      <w:pPr>
        <w:pStyle w:val="Heading4"/>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4"/>
      </w:pPr>
      <w:r>
        <w:t>Interfaces com Outras Estruturas de Governança: Coordenação com outros domínios de governança conforme necessário.</w:t>
      </w:r>
    </w:p>
    <w:p>
      <w:pPr>
        <w:pStyle w:val="Heading4"/>
      </w:pPr>
      <w:r>
        <w:t>Exclusões Explícitas: Nenhuma identificada neste estágio.</w:t>
      </w:r>
    </w:p>
    <w:p>
      <w:pPr>
        <w:pStyle w:val="Heading4"/>
      </w:pPr>
      <w:r>
        <w:t>3.2.2.5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3.3 Definição Consolidada do Modelo de Maturidade</w:t>
      </w:r>
    </w:p>
    <w:p>
      <w:pPr>
        <w:pStyle w:val="Heading3"/>
      </w:pPr>
      <w:r>
        <w:t>Nível 0 – Inexistente</w:t>
      </w:r>
    </w:p>
    <w:p>
      <w:pPr>
        <w:spacing w:after="120"/>
      </w:pPr>
      <w:r>
        <w:t>Sem práticas de governança e sem responsabilidades ou processos definidos.</w:t>
      </w:r>
    </w:p>
    <w:p>
      <w:pPr>
        <w:spacing w:after="120"/>
      </w:pPr>
      <w:r>
        <w:t>Indica ausência completa de estrutura e necessidade imediata de ação fundamental.</w:t>
      </w:r>
    </w:p>
    <w:p>
      <w:pPr>
        <w:pStyle w:val="Heading3"/>
      </w:pPr>
      <w:r>
        <w:t>Nível 1 – Inicial</w:t>
      </w:r>
    </w:p>
    <w:p>
      <w:pPr>
        <w:spacing w:after="120"/>
      </w:pPr>
      <w:r>
        <w:t>Atividades ocorrem de forma informal e reativa com pouca ou nenhuma documentação.</w:t>
      </w:r>
    </w:p>
    <w:p>
      <w:pPr>
        <w:spacing w:after="120"/>
      </w:pPr>
      <w:r>
        <w:t>Reflete conscientização, mas também alta variabilidade e risco operacional.</w:t>
      </w:r>
    </w:p>
    <w:p>
      <w:pPr>
        <w:pStyle w:val="Heading3"/>
      </w:pPr>
      <w:r>
        <w:t>Nível 2 – Emergente</w:t>
      </w:r>
    </w:p>
    <w:p>
      <w:pPr>
        <w:spacing w:after="120"/>
      </w:pPr>
      <w:r>
        <w:t>Algumas práticas existem, mas permanecem inconsistentes, não documentadas ou não adotadas entre equipes.</w:t>
      </w:r>
    </w:p>
    <w:p>
      <w:pPr>
        <w:spacing w:after="120"/>
      </w:pPr>
      <w:r>
        <w:t>Mostra desenvolvimento inicial. Padronização e documentação são necessárias para avançar.</w:t>
      </w:r>
    </w:p>
    <w:p>
      <w:pPr>
        <w:pStyle w:val="Heading3"/>
      </w:pPr>
      <w:r>
        <w:t>Nível 3 – Estabelecido</w:t>
      </w:r>
    </w:p>
    <w:p>
      <w:pPr>
        <w:spacing w:after="120"/>
      </w:pPr>
      <w:r>
        <w:t>Processos, papéis e políticas são definidos, documentados e aplicados com estabilidade.</w:t>
      </w:r>
    </w:p>
    <w:p>
      <w:pPr>
        <w:spacing w:after="120"/>
      </w:pPr>
      <w:r>
        <w:t>Demonstra consistência operacional e prontidão para melhorias mais estruturadas.</w:t>
      </w:r>
    </w:p>
    <w:p>
      <w:pPr>
        <w:pStyle w:val="Heading3"/>
      </w:pPr>
      <w:r>
        <w:t>Nível 4 – Gerenciado</w:t>
      </w:r>
    </w:p>
    <w:p>
      <w:pPr>
        <w:spacing w:after="120"/>
      </w:pPr>
      <w:r>
        <w:t>A governança está integrada em fluxos de trabalho e suportada por ferramentas, monitoramento e supervisão.</w:t>
      </w:r>
    </w:p>
    <w:p>
      <w:pPr>
        <w:spacing w:after="120"/>
      </w:pPr>
      <w:r>
        <w:t>Representa adoção madura com execução confiável entre equipes.</w:t>
      </w:r>
    </w:p>
    <w:p>
      <w:pPr>
        <w:pStyle w:val="Heading3"/>
      </w:pPr>
      <w:r>
        <w:t>Nível 5 – Otimizado</w:t>
      </w:r>
    </w:p>
    <w:p>
      <w:pPr>
        <w:spacing w:after="120"/>
      </w:pPr>
      <w:r>
        <w:t>A governança está totalmente incorporada, continuamente aprimorada e alinhada com expectativas de conformidade e ética.</w:t>
      </w:r>
    </w:p>
    <w:p>
      <w:pPr>
        <w:spacing w:after="120"/>
      </w:pPr>
      <w:r>
        <w:t>Representa maturidade avançada com governança proativa, otimização e melhoria contínua institucionalizada.</w:t>
      </w:r>
    </w:p>
    <w:p>
      <w:pPr>
        <w:pStyle w:val="Heading2"/>
      </w:pPr>
      <w:r>
        <w:t>3.4 DG · Data Governance</w:t>
      </w:r>
    </w:p>
    <w:p>
      <w:pPr>
        <w:pStyle w:val="Heading3"/>
      </w:pPr>
      <w:r>
        <w:t>3.4.1 Contextualização do Domínio Avaliado</w:t>
      </w:r>
    </w:p>
    <w:p>
      <w:r>
        <w:rPr>
          <w:b/>
        </w:rPr>
        <w:t xml:space="preserve">Descrição: </w:t>
      </w:r>
      <w:r>
        <w:t>As questões neste domínio avaliam a existência, formalização e execução consistente dos mecanismos centrais de governança, incluindo políticas, princípios, estruturas de stewardship, papéis de responsabilidade e órgãos de supervisão. Avaliam como as responsabilidades são definidas, como as decisões são tomadas e como a governança é incorporada nas rotinas organizacionais. Esses elementos refletem os mecanismos estruturais, procedimentais e relacionais enfatizados na literatura como fundamentais para uma governança eficaz (Abraham et al., 2019). Além disso, fornecem a base para o desenvolvimento de capacidades em todos os demais domínios.</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1 (Ad-hoc).</w:t>
      </w:r>
    </w:p>
    <w:p>
      <w:pPr>
        <w:pStyle w:val="Heading4"/>
      </w:pPr>
      <w:r>
        <w:t>Contexto Organizacional: [Descrição breve do cenário de governança de dados da organização]</w:t>
      </w:r>
    </w:p>
    <w:p>
      <w:pPr>
        <w:spacing w:after="120"/>
      </w:pPr>
      <w:r>
        <w:t>Código da ação acionada: DG-02</w:t>
      </w:r>
    </w:p>
    <w:p>
      <w:pPr>
        <w:pStyle w:val="Heading3"/>
      </w:pPr>
      <w:r>
        <w:t>3.4.2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3.4.2.1 Definição da Ação</w:t>
      </w:r>
    </w:p>
    <w:p>
      <w:r>
        <w:rPr>
          <w:b/>
        </w:rPr>
        <w:t xml:space="preserve">Propósito: </w:t>
      </w:r>
      <w:r>
        <w:t>Definir claramente a ação abordada no documento.</w:t>
      </w:r>
    </w:p>
    <w:p>
      <w:r>
        <w:rPr>
          <w:b/>
        </w:rPr>
        <w:t xml:space="preserve">Conteúdo Esperado: </w:t>
      </w:r>
      <w:r>
        <w:t>Código da ação, título, objetivo e limites de escopo.</w:t>
      </w:r>
    </w:p>
    <w:p>
      <w:pPr>
        <w:pStyle w:val="Heading6"/>
      </w:pPr>
      <w:r>
        <w:t>Elementos de Exemplo</w:t>
      </w:r>
    </w:p>
    <w:p>
      <w:pPr>
        <w:pStyle w:val="Heading5"/>
      </w:pPr>
      <w:r>
        <w:t>Código e Título da Ação: DG-02 - Atribuir propriedade e responsabilidades de governança</w:t>
      </w:r>
    </w:p>
    <w:p>
      <w:pPr>
        <w:pStyle w:val="Heading5"/>
      </w:pPr>
      <w:r>
        <w:t>Objetivo da Ação: Estabelecer propriedade e responsabilidades claras para a governança de dados.</w:t>
      </w:r>
    </w:p>
    <w:p>
      <w:pPr>
        <w:pStyle w:val="Heading5"/>
      </w:pPr>
      <w:r>
        <w:t>Limites de Escopo da Ação: Esta ação se aplica a todos os papéis de governança de dados dentro da organização.</w:t>
      </w:r>
    </w:p>
    <w:p>
      <w:pPr>
        <w:pStyle w:val="Heading4"/>
      </w:pPr>
      <w:r>
        <w:t>3.4.2.2 Definição do Procedimento</w:t>
      </w:r>
    </w:p>
    <w:p>
      <w:r>
        <w:rPr>
          <w:b/>
        </w:rPr>
        <w:t xml:space="preserve">Propósito: </w:t>
      </w:r>
      <w:r>
        <w:t>Delimitar os passos processuais necessários para alcançar o objetivo da ação.</w:t>
      </w:r>
    </w:p>
    <w:p>
      <w:r>
        <w:rPr>
          <w:b/>
        </w:rPr>
        <w:t xml:space="preserve">Conteúdo Esperado: </w:t>
      </w:r>
      <w:r>
        <w:t>Objetivo, pré-requisitos, entregáveis e estrutura de execução passo a passo.</w:t>
      </w:r>
    </w:p>
    <w:p>
      <w:pPr>
        <w:pStyle w:val="Heading6"/>
      </w:pPr>
      <w:r>
        <w:t>Elementos de Exemplo</w:t>
      </w:r>
    </w:p>
    <w:p>
      <w:pPr>
        <w:pStyle w:val="Heading5"/>
      </w:pPr>
      <w:r>
        <w:t>Objetivo do Procedimento: Consolidar efetivamente os requisitos de política de governança.</w:t>
      </w:r>
    </w:p>
    <w:p>
      <w:pPr>
        <w:pStyle w:val="Heading5"/>
      </w:pPr>
      <w:r>
        <w:t>Pré-requisitos: DG-01 devem estar completos.</w:t>
      </w:r>
    </w:p>
    <w:p>
      <w:pPr>
        <w:pStyle w:val="Heading5"/>
      </w:pPr>
      <w:r>
        <w:t>Entregáveis: Registro de requisitos.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Consolidar requisitos da política de governança</w:t>
      </w:r>
    </w:p>
    <w:p>
      <w:pPr>
        <w:spacing w:before="120" w:after="120"/>
      </w:pPr>
      <w:r>
        <w:rPr>
          <w:b/>
        </w:rPr>
        <w:t xml:space="preserve">Pré-requisito: </w:t>
      </w:r>
      <w:r>
        <w:t>Requer DG-01 completo</w:t>
      </w:r>
    </w:p>
    <w:p>
      <w:pPr>
        <w:spacing w:before="120" w:after="120"/>
      </w:pPr>
      <w:r>
        <w:rPr>
          <w:b/>
        </w:rPr>
        <w:t xml:space="preserve">Entregável: </w:t>
      </w:r>
      <w:r>
        <w:t>Registro de requisitos</w:t>
      </w:r>
    </w:p>
    <w:p>
      <w:r>
        <w:rPr>
          <w:b/>
        </w:rPr>
        <w:t>Recomendações:</w:t>
      </w:r>
    </w:p>
    <w:p>
      <w:pPr>
        <w:pStyle w:val="ListBullet"/>
      </w:pPr>
      <w:r>
        <w:t>Consolidar requisitos usando orientações do DAMA para componentes de políticas, incluindo propósito, escopo, autoridade e regras de governança conforme descrito em DMBOK2 (Capítulo 3.5, p. 62).</w:t>
      </w:r>
    </w:p>
    <w:p>
      <w:pPr>
        <w:pStyle w:val="ListBullet"/>
      </w:pPr>
      <w:r>
        <w:t>Validar que requisitos refletem princípios DAMA para responsabilidade e autoridade de decisão descritos em fundamentos de governança (Capítulo 3, p. 51).</w:t>
      </w:r>
    </w:p>
    <w:p>
      <w:pPr>
        <w:pStyle w:val="ListBullet"/>
      </w:pPr>
      <w:r>
        <w:t>Garantir que cada requisito esteja alinhado com responsabilidades de stewardship e propriedade definidas por DAMA (Capítulo 3.2, p. 55–57).</w:t>
      </w:r>
    </w:p>
    <w:p>
      <w:pPr>
        <w:pStyle w:val="ListBullet"/>
      </w:pPr>
      <w:r>
        <w:t>Confirmar cobertura de papéis e processos de governança conforme modelo funcional de atividades de governança DAMA (Capítulo 3.3, p. 58–59).</w:t>
      </w:r>
    </w:p>
    <w:p>
      <w:r>
        <w:rPr>
          <w:b/>
        </w:rPr>
        <w:t>Notas:</w:t>
      </w:r>
    </w:p>
    <w:p>
      <w:pPr>
        <w:pStyle w:val="ListBullet"/>
      </w:pPr>
      <w:r>
        <w:t>Utilizar critérios de capacidade de política DCAM para garantir que requisitos sejam estruturados, consistentes e rastreáveis entre domínios de governança.</w:t>
      </w:r>
    </w:p>
    <w:p>
      <w:pPr>
        <w:spacing w:before="240"/>
      </w:pPr>
    </w:p>
    <w:p>
      <w:pPr>
        <w:spacing w:before="120" w:after="120"/>
      </w:pPr>
      <w:r>
        <w:rPr>
          <w:b/>
        </w:rPr>
        <w:t xml:space="preserve">Número do Procedimento: </w:t>
      </w:r>
      <w:r>
        <w:t>2</w:t>
      </w:r>
    </w:p>
    <w:p>
      <w:pPr>
        <w:spacing w:before="120" w:after="120"/>
      </w:pPr>
      <w:r>
        <w:rPr>
          <w:b/>
        </w:rPr>
        <w:t xml:space="preserve">Nome: </w:t>
      </w:r>
      <w:r>
        <w:t>Produzir política formal de governança</w:t>
      </w:r>
    </w:p>
    <w:p>
      <w:pPr>
        <w:spacing w:before="120" w:after="120"/>
      </w:pPr>
      <w:r>
        <w:rPr>
          <w:b/>
        </w:rPr>
        <w:t xml:space="preserve">Pré-requisito: </w:t>
      </w:r>
      <w:r>
        <w:t>Requer requisitos validados</w:t>
      </w:r>
    </w:p>
    <w:p>
      <w:pPr>
        <w:spacing w:before="120" w:after="120"/>
      </w:pPr>
      <w:r>
        <w:rPr>
          <w:b/>
        </w:rPr>
        <w:t xml:space="preserve">Entregável: </w:t>
      </w:r>
      <w:r>
        <w:t>Política corporativa de governança v1.0</w:t>
      </w:r>
    </w:p>
    <w:p>
      <w:r>
        <w:rPr>
          <w:b/>
        </w:rPr>
        <w:t>Recomendações:</w:t>
      </w:r>
    </w:p>
    <w:p>
      <w:pPr>
        <w:pStyle w:val="ListBullet"/>
      </w:pPr>
      <w:r>
        <w:t>Criar política formal seguindo estrutura recomendada DAMA para políticas de governança, incluindo propósito, autoridade, papéis, escalonamento e expectativas de conformidade (Capítulo 3.5, p. 62–63).</w:t>
      </w:r>
    </w:p>
    <w:p>
      <w:pPr>
        <w:pStyle w:val="ListBullet"/>
      </w:pPr>
      <w:r>
        <w:t>Garantir que a política esteja alinhada com princípios DAMA para transparência de decisão e responsabilidade clara (Capítulo 3, p. 51).</w:t>
      </w:r>
    </w:p>
    <w:p>
      <w:pPr>
        <w:pStyle w:val="ListBullet"/>
      </w:pPr>
      <w:r>
        <w:t>Formatar o documento usando as convenções de artefato do DAMA para garantir que a política seja auditável e repetível (Capítulo 3 Apêndice, p. 69–70).</w:t>
      </w:r>
    </w:p>
    <w:p>
      <w:pPr>
        <w:pStyle w:val="ListBullet"/>
      </w:pPr>
      <w:r>
        <w:t>Incorporar responsabilidades de gestão do modelo de gestão DAMA para garantir que a política defina propriedade de decisão (Capítulo 4, p. 86–89).</w:t>
      </w:r>
    </w:p>
    <w:p>
      <w:r>
        <w:rPr>
          <w:b/>
        </w:rPr>
        <w:t>Notas:</w:t>
      </w:r>
    </w:p>
    <w:p>
      <w:pPr>
        <w:pStyle w:val="ListBullet"/>
      </w:pPr>
      <w:r>
        <w:t>Usar práticas de aprovação de políticas CMMI para reforçar o controle de qualidade e a disciplina de versionamento durante a criação de políticas.</w:t>
      </w:r>
    </w:p>
    <w:p>
      <w:pPr>
        <w:spacing w:before="240"/>
      </w:pPr>
    </w:p>
    <w:p>
      <w:pPr>
        <w:spacing w:before="120" w:after="120"/>
      </w:pPr>
      <w:r>
        <w:rPr>
          <w:b/>
        </w:rPr>
        <w:t xml:space="preserve">Número do Procedimento: </w:t>
      </w:r>
      <w:r>
        <w:t>3</w:t>
      </w:r>
    </w:p>
    <w:p>
      <w:pPr>
        <w:spacing w:before="120" w:after="120"/>
      </w:pPr>
      <w:r>
        <w:rPr>
          <w:b/>
        </w:rPr>
        <w:t xml:space="preserve">Nome: </w:t>
      </w:r>
      <w:r>
        <w:t>Definir padrões e regras de governança</w:t>
      </w:r>
    </w:p>
    <w:p>
      <w:pPr>
        <w:spacing w:before="120" w:after="120"/>
      </w:pPr>
      <w:r>
        <w:rPr>
          <w:b/>
        </w:rPr>
        <w:t xml:space="preserve">Pré-requisito: </w:t>
      </w:r>
      <w:r>
        <w:t>Requer política v1.0</w:t>
      </w:r>
    </w:p>
    <w:p>
      <w:pPr>
        <w:spacing w:before="120" w:after="120"/>
      </w:pPr>
      <w:r>
        <w:rPr>
          <w:b/>
        </w:rPr>
        <w:t xml:space="preserve">Entregável: </w:t>
      </w:r>
      <w:r>
        <w:t>Manual de Padrões de Governança de Dados</w:t>
      </w:r>
    </w:p>
    <w:p>
      <w:r>
        <w:rPr>
          <w:b/>
        </w:rPr>
        <w:t>Recomendações:</w:t>
      </w:r>
    </w:p>
    <w:p>
      <w:pPr>
        <w:pStyle w:val="ListBullet"/>
      </w:pPr>
      <w:r>
        <w:t>Definir padrões usando a orientação DAMA para tipos de regras de governança, incluindo regras de dados, regras de ciclo de vida e regras de gestão (Capítulo 3.5, p. 62–63).</w:t>
      </w:r>
    </w:p>
    <w:p>
      <w:pPr>
        <w:pStyle w:val="ListBullet"/>
      </w:pPr>
      <w:r>
        <w:t>Confirmar que regras refletem expectativas semânticas, de metadados e qualidade de DAMA documentadas em DMBOK2 (Capítulos 9, 10 e 11).</w:t>
      </w:r>
    </w:p>
    <w:p>
      <w:pPr>
        <w:pStyle w:val="ListBullet"/>
      </w:pPr>
      <w:r>
        <w:t>Garantir que cada padrão esteja vinculado a um papel de governança seguindo as descrições de responsabilidade de DAMA (Capítulo 3.2, p. 55–57).</w:t>
      </w:r>
    </w:p>
    <w:p>
      <w:pPr>
        <w:pStyle w:val="ListBullet"/>
      </w:pPr>
      <w:r>
        <w:t>Validar completude das regras usando recomendações DAMA para dimensões de metadados e qualidade (Capítulo 10, p. 282–284).</w:t>
      </w:r>
    </w:p>
    <w:p>
      <w:r>
        <w:rPr>
          <w:b/>
        </w:rPr>
        <w:t>Notas:</w:t>
      </w:r>
    </w:p>
    <w:p>
      <w:pPr>
        <w:pStyle w:val="ListBullet"/>
      </w:pPr>
      <w:r>
        <w:t>Aplicar princípios de necessidade e proporcionalidade de GDPR ao definir regras que afetam direitos de acesso, uso ou retenção de dados pessoais.</w:t>
      </w:r>
    </w:p>
    <w:p>
      <w:pPr>
        <w:spacing w:before="240"/>
      </w:pPr>
    </w:p>
    <w:p>
      <w:pPr>
        <w:spacing w:before="120" w:after="120"/>
      </w:pPr>
      <w:r>
        <w:rPr>
          <w:b/>
        </w:rPr>
        <w:t xml:space="preserve">Número do Procedimento: </w:t>
      </w:r>
      <w:r>
        <w:t>4</w:t>
      </w:r>
    </w:p>
    <w:p>
      <w:pPr>
        <w:spacing w:before="120" w:after="120"/>
      </w:pPr>
      <w:r>
        <w:rPr>
          <w:b/>
        </w:rPr>
        <w:t xml:space="preserve">Nome: </w:t>
      </w:r>
      <w:r>
        <w:t>Atribuir propriedade e gestão definitivas</w:t>
      </w:r>
    </w:p>
    <w:p>
      <w:pPr>
        <w:spacing w:before="120" w:after="120"/>
      </w:pPr>
      <w:r>
        <w:rPr>
          <w:b/>
        </w:rPr>
        <w:t xml:space="preserve">Pré-requisito: </w:t>
      </w:r>
      <w:r>
        <w:t>Requer descrições de papéis atualizadas.</w:t>
      </w:r>
    </w:p>
    <w:p>
      <w:pPr>
        <w:spacing w:before="120" w:after="120"/>
      </w:pPr>
      <w:r>
        <w:rPr>
          <w:b/>
        </w:rPr>
        <w:t xml:space="preserve">Entregável: </w:t>
      </w:r>
      <w:r>
        <w:t>Mapa de propriedade e stewardship</w:t>
      </w:r>
    </w:p>
    <w:p>
      <w:r>
        <w:rPr>
          <w:b/>
        </w:rPr>
        <w:t>Recomendações:</w:t>
      </w:r>
    </w:p>
    <w:p>
      <w:pPr>
        <w:pStyle w:val="ListBullet"/>
      </w:pPr>
      <w:r>
        <w:t>Atribuir proprietários e stewards usando competências formais e modelos de responsabilidade de DAMA para papéis de governança (Capítulo 4, p. 86–89).</w:t>
      </w:r>
    </w:p>
    <w:p>
      <w:pPr>
        <w:pStyle w:val="ListBullet"/>
      </w:pPr>
      <w:r>
        <w:t>Garanta que as atribuições de propriedade reflitam a estrutura de autoridade de escalonamento e decisão de DAMA (Capítulo 3.4, p. 60).</w:t>
      </w:r>
    </w:p>
    <w:p>
      <w:pPr>
        <w:pStyle w:val="ListBullet"/>
      </w:pPr>
      <w:r>
        <w:t>Validar cobertura de stewardship entre domínios de dados seguindo alinhamento funcional de governança DAMA (Figura 3-2, p. 53).</w:t>
      </w:r>
    </w:p>
    <w:p>
      <w:pPr>
        <w:pStyle w:val="ListBullet"/>
      </w:pPr>
      <w:r>
        <w:t>Confirme alinhamento das responsabilidades com checkpoints do ciclo de vida descritos por DAMA (Capítulo 4.3, p. 92).</w:t>
      </w:r>
    </w:p>
    <w:p>
      <w:r>
        <w:rPr>
          <w:b/>
        </w:rPr>
        <w:t>Notas:</w:t>
      </w:r>
    </w:p>
    <w:p>
      <w:pPr>
        <w:pStyle w:val="ListBullet"/>
      </w:pPr>
      <w:r>
        <w:t>Use indicadores de prontidão IDGC para confirmar que owners e stewards possuem adequação comportamental e suporte organizacional para executar suas responsabilidades efetivamente.</w:t>
      </w:r>
    </w:p>
    <w:p>
      <w:pPr>
        <w:spacing w:before="240"/>
      </w:pPr>
    </w:p>
    <w:p>
      <w:pPr>
        <w:spacing w:before="120" w:after="120"/>
      </w:pPr>
      <w:r>
        <w:rPr>
          <w:b/>
        </w:rPr>
        <w:t xml:space="preserve">Número do Procedimento: </w:t>
      </w:r>
      <w:r>
        <w:t>5</w:t>
      </w:r>
    </w:p>
    <w:p>
      <w:pPr>
        <w:spacing w:before="120" w:after="120"/>
      </w:pPr>
      <w:r>
        <w:rPr>
          <w:b/>
        </w:rPr>
        <w:t xml:space="preserve">Nome: </w:t>
      </w:r>
      <w:r>
        <w:t>Publicar papéis e responsabilidades de governança</w:t>
      </w:r>
    </w:p>
    <w:p>
      <w:pPr>
        <w:spacing w:before="120" w:after="120"/>
      </w:pPr>
      <w:r>
        <w:rPr>
          <w:b/>
        </w:rPr>
        <w:t xml:space="preserve">Pré-requisito: </w:t>
      </w:r>
      <w:r>
        <w:t>Requer aprovação e mapeamento de papéis</w:t>
      </w:r>
    </w:p>
    <w:p>
      <w:pPr>
        <w:spacing w:before="120" w:after="120"/>
      </w:pPr>
      <w:r>
        <w:rPr>
          <w:b/>
        </w:rPr>
        <w:t xml:space="preserve">Entregável: </w:t>
      </w:r>
      <w:r>
        <w:t>Estatuto de papéis de governança</w:t>
      </w:r>
    </w:p>
    <w:p>
      <w:r>
        <w:rPr>
          <w:b/>
        </w:rPr>
        <w:t>Recomendações:</w:t>
      </w:r>
    </w:p>
    <w:p>
      <w:pPr>
        <w:pStyle w:val="ListBullet"/>
      </w:pPr>
      <w:r>
        <w:t>Publicar papéis seguindo orientações DAMA sobre comunicação de governança e engajamento de stakeholders (Capítulo 3.6, p. 64).</w:t>
      </w:r>
    </w:p>
    <w:p>
      <w:pPr>
        <w:pStyle w:val="ListBullet"/>
      </w:pPr>
      <w:r>
        <w:t>Esclarecer responsabilidades usando a estrutura de responsabilidade DAMA para evitar ambiguidade na autoridade de decisão (Capítulo 3, p.51).</w:t>
      </w:r>
    </w:p>
    <w:p>
      <w:pPr>
        <w:pStyle w:val="ListBullet"/>
      </w:pPr>
      <w:r>
        <w:t>Documentar responsabilidades e mapeamentos seguindo formatação de artefatos DAMA para materiais de governança (Capítulo 3 Apêndice, p. 69).</w:t>
      </w:r>
    </w:p>
    <w:p>
      <w:pPr>
        <w:pStyle w:val="ListBullet"/>
      </w:pPr>
      <w:r>
        <w:t>Garantir que deveres de stewardship e propriedade sejam comunicados claramente em conformidade com os princípios de stewardship DAMA (Capítulo 4, p. 86–87).</w:t>
      </w:r>
    </w:p>
    <w:p>
      <w:r>
        <w:rPr>
          <w:b/>
        </w:rPr>
        <w:t>Notas:</w:t>
      </w:r>
    </w:p>
    <w:p>
      <w:pPr>
        <w:pStyle w:val="ListBullet"/>
      </w:pPr>
      <w:r>
        <w:t>Aplique práticas de alinhamento organizacional DCAM para garantir que os papéis sejam adotados de forma consistente nos domínios de negócios e técnicos.</w:t>
      </w:r>
    </w:p>
    <w:p>
      <w:pPr>
        <w:pStyle w:val="ListBullet"/>
      </w:pPr>
      <w:r>
        <w:t>Revisar Políticas Existentes</w:t>
      </w:r>
    </w:p>
    <w:p>
      <w:pPr>
        <w:pStyle w:val="ListBullet"/>
      </w:pPr>
      <w:r>
        <w:t>Identificar Componentes da Política</w:t>
      </w:r>
    </w:p>
    <w:p>
      <w:pPr>
        <w:pStyle w:val="ListBullet"/>
      </w:pPr>
      <w:r>
        <w:t>Validar Requisitos com Base nos Princípios de DAMA</w:t>
      </w:r>
    </w:p>
    <w:p>
      <w:pPr>
        <w:pStyle w:val="ListBullet"/>
      </w:pPr>
      <w:r>
        <w:t>Mapear Requisitos para Papéis de Governança</w:t>
      </w:r>
    </w:p>
    <w:p>
      <w:pPr>
        <w:pStyle w:val="ListBullet"/>
      </w:pPr>
      <w:r>
        <w:t>Avaliar Cobertura das Atividades de Governança</w:t>
      </w:r>
    </w:p>
    <w:p>
      <w:pPr>
        <w:pStyle w:val="ListBullet"/>
      </w:pPr>
      <w:r>
        <w:t>Envolver Stakeholders para Revisão Final</w:t>
      </w:r>
    </w:p>
    <w:p>
      <w:pPr>
        <w:pStyle w:val="ListBullet"/>
      </w:pPr>
      <w:r>
        <w:t>Compilar Registro de Requisitos</w:t>
      </w:r>
    </w:p>
    <w:p>
      <w:pPr>
        <w:pStyle w:val="ListBullet"/>
      </w:pPr>
      <w:r>
        <w:t>Estabelecer Pontos de Verificação de Governança</w:t>
      </w:r>
    </w:p>
    <w:p>
      <w:pPr>
        <w:pStyle w:val="Heading4"/>
      </w:pPr>
      <w:r>
        <w:t>3.4.2.3 Componentes Estruturais da Governança</w:t>
      </w:r>
    </w:p>
    <w:p>
      <w:r>
        <w:rPr>
          <w:b/>
        </w:rPr>
        <w:t xml:space="preserve">Propósito: </w:t>
      </w:r>
      <w:r>
        <w:t>Definir os elementos estruturais da governança relevantes para a ação.</w:t>
      </w:r>
    </w:p>
    <w:p>
      <w:r>
        <w:rPr>
          <w:b/>
        </w:rPr>
        <w:t xml:space="preserve">Conteúdo Esperado: </w:t>
      </w:r>
      <w:r>
        <w:t>Cobertura, temas, estrutura organizacional, autoridade de decisão, processos, interfaces e exclusões.</w:t>
      </w:r>
    </w:p>
    <w:p>
      <w:pPr>
        <w:pStyle w:val="Heading6"/>
      </w:pPr>
      <w:r>
        <w:t>Elementos de Exemplo</w:t>
      </w:r>
    </w:p>
    <w:p>
      <w:pPr>
        <w:pStyle w:val="Heading5"/>
      </w:pPr>
      <w:r>
        <w:t>Cobertura Organizacional: Todos os papéis de governança de dados estão incluídos.</w:t>
      </w:r>
    </w:p>
    <w:p>
      <w:pPr>
        <w:pStyle w:val="Heading5"/>
      </w:pPr>
      <w:r>
        <w:t>Cobertura de Ativos de Dados: Todos os ativos de dados governados pelo Conselho de Governança de Dados.</w:t>
      </w:r>
    </w:p>
    <w:p>
      <w:pPr>
        <w:pStyle w:val="Heading5"/>
      </w:pPr>
      <w:r>
        <w:t>Temas de Governança: Responsabilidade, autoridade de decisão, curadoria.</w:t>
      </w:r>
    </w:p>
    <w:p>
      <w:pPr>
        <w:pStyle w:val="Heading5"/>
      </w:pPr>
      <w:r>
        <w:t>Estrutura Organizacional de Governança: Conselho de Governança de Dados, Escritório de Governança de Dados, Proprietários de Dados, Curadores de Dados, Custódios de Dados.</w:t>
      </w:r>
    </w:p>
    <w:p>
      <w:pPr>
        <w:pStyle w:val="Heading5"/>
      </w:pPr>
      <w:r>
        <w:t>Modelo de Autoridade de Decisão: Papéis e responsabilidades definidos para a tomada de decisões.</w:t>
      </w:r>
    </w:p>
    <w:p>
      <w:pPr>
        <w:pStyle w:val="Heading5"/>
      </w:pPr>
      <w:r>
        <w:t>Processos de Governança</w:t>
      </w:r>
    </w:p>
    <w:p>
      <w:pPr>
        <w:pStyle w:val="ListBullet"/>
      </w:pPr>
      <w:r>
        <w:t>Coleta de requisitos</w:t>
      </w:r>
    </w:p>
    <w:p>
      <w:pPr>
        <w:pStyle w:val="ListBullet"/>
      </w:pPr>
      <w:r>
        <w:t>Envolvimento de stakeholders</w:t>
      </w:r>
    </w:p>
    <w:p>
      <w:pPr>
        <w:pStyle w:val="ListBullet"/>
      </w:pPr>
      <w:r>
        <w:t>Validação de políticas</w:t>
      </w:r>
    </w:p>
    <w:p>
      <w:pPr>
        <w:pStyle w:val="ListBullet"/>
      </w:pPr>
      <w:r>
        <w:t>Documentação de requisitos</w:t>
      </w:r>
    </w:p>
    <w:p>
      <w:pPr>
        <w:pStyle w:val="Heading5"/>
      </w:pPr>
      <w:r>
        <w:t>Interfaces com Outras Estruturas de Governança: Coordenação com outros domínios de governança conforme necessário.</w:t>
      </w:r>
    </w:p>
    <w:p>
      <w:pPr>
        <w:pStyle w:val="Heading5"/>
      </w:pPr>
      <w:r>
        <w:t>Exclusões Explícitas: Nenhuma identificada neste estágio.</w:t>
      </w:r>
    </w:p>
    <w:p>
      <w:pPr>
        <w:pStyle w:val="Heading4"/>
      </w:pPr>
      <w:r>
        <w:t>3.4.2.4 Mecanismos de Controle e Supervisão</w:t>
      </w:r>
    </w:p>
    <w:p>
      <w:r>
        <w:rPr>
          <w:b/>
        </w:rPr>
        <w:t xml:space="preserve">Propósito: </w:t>
      </w:r>
      <w:r>
        <w:t>Definir os mecanismos formais de controle e supervisão aplicáveis a esta ação.</w:t>
      </w:r>
    </w:p>
    <w:p>
      <w:r>
        <w:rPr>
          <w:b/>
        </w:rPr>
        <w:t xml:space="preserve">Conteúdo Esperado: </w:t>
      </w:r>
      <w:r>
        <w:t>Definição básica de supervisão de governança alinhada com a maturidade fundamental.</w:t>
      </w:r>
    </w:p>
    <w:p>
      <w:pPr>
        <w:pStyle w:val="Heading2"/>
      </w:pPr>
      <w:r>
        <w:t>3.5 DA · Data Architecture</w:t>
      </w:r>
    </w:p>
    <w:p>
      <w:pPr>
        <w:pStyle w:val="Heading3"/>
      </w:pPr>
      <w:r>
        <w:t>3.5.1 Contextualização do Domínio Avaliado</w:t>
      </w:r>
    </w:p>
    <w:p>
      <w:r>
        <w:rPr>
          <w:b/>
        </w:rPr>
        <w:t xml:space="preserve">Descrição: </w:t>
      </w:r>
      <w:r>
        <w:t>Itens neste domínio avaliam princípios arquiteturais, a presença de arquitetura de dados de referência, a integração das perspectivas de negócios e dados, e o alinhamento das definições estruturais com as estratégias organizacionais. Esses elementos são mecanismos fundamentais que possibilitam governança escalável e sustentável. Pesquisas mostram consistentemente que a arquitetura de dados funciona como uma camada estrutural central que suporta interoperabilidade, consistência, governança do ciclo de vida e evolução controlada dos ativos de dados em toda a empresa (Legner et al., 2020)</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3 (Definido).</w:t>
      </w:r>
    </w:p>
    <w:p>
      <w:pPr>
        <w:pStyle w:val="Heading4"/>
      </w:pPr>
      <w:r>
        <w:t>Contexto Organizacional: Este procedimento se aplica a todos os fluxos de trabalho de dados dentro da organização.</w:t>
      </w:r>
    </w:p>
    <w:p>
      <w:pPr>
        <w:spacing w:after="120"/>
      </w:pPr>
      <w:r>
        <w:t>Código da ação acionada: DA-04</w:t>
      </w:r>
    </w:p>
    <w:p>
      <w:pPr>
        <w:pStyle w:val="Heading3"/>
      </w:pPr>
      <w:r>
        <w:t>3.5.2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3.5.2.1 Definição da Ação</w:t>
      </w:r>
    </w:p>
    <w:p>
      <w:r>
        <w:rPr>
          <w:b/>
        </w:rPr>
        <w:t xml:space="preserve">Propósito: </w:t>
      </w:r>
      <w:r>
        <w:t>Articular claramente a ação que está sendo definida, incluindo seus objetivos e escopo.</w:t>
      </w:r>
    </w:p>
    <w:p>
      <w:r>
        <w:rPr>
          <w:b/>
        </w:rPr>
        <w:t xml:space="preserve">Conteúdo esperado: </w:t>
      </w:r>
      <w:r>
        <w:t>Código da ação, título, objetivos e limites de escopo.</w:t>
      </w:r>
    </w:p>
    <w:p>
      <w:pPr>
        <w:pStyle w:val="Heading6"/>
      </w:pPr>
      <w:r>
        <w:t>Elementos de exemplo</w:t>
      </w:r>
    </w:p>
    <w:p>
      <w:pPr>
        <w:pStyle w:val="Heading5"/>
      </w:pPr>
      <w:r>
        <w:t>Código e Título da Ação: DA-04 - Integrar a governança de arquitetura em fluxos de trabalho</w:t>
      </w:r>
    </w:p>
    <w:p>
      <w:pPr>
        <w:pStyle w:val="Heading5"/>
      </w:pPr>
      <w:r>
        <w:t>Objetivo da Ação: Integrar pontos de verificação de governança de arquitetura nos fluxos de trabalho existentes.</w:t>
      </w:r>
    </w:p>
    <w:p>
      <w:pPr>
        <w:pStyle w:val="Heading5"/>
      </w:pPr>
      <w:r>
        <w:t>Limites de Escopo da Ação: Esta ação se aplica a todos os fluxos de trabalho envolvendo criação, transformação e publicação de dados.</w:t>
      </w:r>
    </w:p>
    <w:p>
      <w:pPr>
        <w:pStyle w:val="Heading4"/>
      </w:pPr>
      <w:r>
        <w:t>3.5.2.2 Definição do Procedimento</w:t>
      </w:r>
    </w:p>
    <w:p>
      <w:r>
        <w:rPr>
          <w:b/>
        </w:rPr>
        <w:t xml:space="preserve">Propósito: </w:t>
      </w:r>
      <w:r>
        <w:t>Detalhar a estrutura de execução passo a passo para a ação, incluindo pré-requisitos e entregáveis.</w:t>
      </w:r>
    </w:p>
    <w:p>
      <w:r>
        <w:rPr>
          <w:b/>
        </w:rPr>
        <w:t xml:space="preserve">Conteúdo esperado: </w:t>
      </w:r>
      <w:r>
        <w:t>Objetivo do procedimento, pré-requisitos, entregáveis e uma estrutura de execução estruturada.</w:t>
      </w:r>
    </w:p>
    <w:p>
      <w:pPr>
        <w:pStyle w:val="Heading6"/>
      </w:pPr>
      <w:r>
        <w:t>Elementos de exemplo</w:t>
      </w:r>
    </w:p>
    <w:p>
      <w:pPr>
        <w:pStyle w:val="Heading5"/>
      </w:pPr>
      <w:r>
        <w:t>Objetivo do Procedimento: Garantir que a governança de arquitetura esteja integrada em fluxos de trabalho por meio de pontos de verificação definidos.</w:t>
      </w:r>
    </w:p>
    <w:p>
      <w:pPr>
        <w:pStyle w:val="Heading5"/>
      </w:pPr>
      <w:r>
        <w:t>Pré-requisitos: Requer papéis e padrões DA-03.</w:t>
      </w:r>
    </w:p>
    <w:p>
      <w:pPr>
        <w:pStyle w:val="Heading5"/>
      </w:pPr>
      <w:r>
        <w:t>Entregáveis: Modelos de fluxo de trabalho atualizados.</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Incorporar checkpoints de arquitetura em fluxos de trabalho de domínio</w:t>
      </w:r>
    </w:p>
    <w:p>
      <w:pPr>
        <w:spacing w:before="120" w:after="120"/>
      </w:pPr>
      <w:r>
        <w:rPr>
          <w:b/>
        </w:rPr>
        <w:t xml:space="preserve">Pré-requisito: </w:t>
      </w:r>
      <w:r>
        <w:t>Requer papéis e padrões DA-03</w:t>
      </w:r>
    </w:p>
    <w:p>
      <w:pPr>
        <w:spacing w:before="120" w:after="120"/>
      </w:pPr>
      <w:r>
        <w:rPr>
          <w:b/>
        </w:rPr>
        <w:t xml:space="preserve">Entregável: </w:t>
      </w:r>
      <w:r>
        <w:t>Modelos de fluxo de trabalho atualizados</w:t>
      </w:r>
    </w:p>
    <w:p>
      <w:r>
        <w:rPr>
          <w:b/>
        </w:rPr>
        <w:t>Recomendações:</w:t>
      </w:r>
    </w:p>
    <w:p>
      <w:pPr>
        <w:pStyle w:val="ListBullet"/>
      </w:pPr>
      <w:r>
        <w:t>Incorpore checkpoints usando orientações DAMA para integrar controles estruturais em processos operacionais e analíticos de dados conforme descrito em DMBOK2 (Capítulo 3.3, p. 58–59).</w:t>
      </w:r>
    </w:p>
    <w:p>
      <w:pPr>
        <w:pStyle w:val="ListBullet"/>
      </w:pPr>
      <w:r>
        <w:t>Garantir que pontos de controle reflitam expectativas de controle do ciclo de vida DAMA para criação, transformação e publicação (Capítulo 4.3, p. 92).</w:t>
      </w:r>
    </w:p>
    <w:p>
      <w:pPr>
        <w:pStyle w:val="ListBullet"/>
      </w:pPr>
      <w:r>
        <w:t>Validar que cada ponto de verificação aborda as regras DAMA para metadados, linhagem e consistência estrutural (Capítulos 10 e 11).</w:t>
      </w:r>
    </w:p>
    <w:p>
      <w:pPr>
        <w:pStyle w:val="ListBullet"/>
      </w:pPr>
      <w:r>
        <w:t>Confirmar alinhamento com responsabilidades de stewardship DAMA para aplicar limites de decisão em etapas de fluxo de trabalho (Capítulo 4, p. 86–87).</w:t>
      </w:r>
    </w:p>
    <w:p>
      <w:r>
        <w:rPr>
          <w:b/>
        </w:rPr>
        <w:t>Notas:</w:t>
      </w:r>
    </w:p>
    <w:p>
      <w:pPr>
        <w:pStyle w:val="ListBullet"/>
      </w:pPr>
      <w:r>
        <w:t>Usar mapeamento de capacidade de workflow DCAM para garantir que pontos de controle reforcem objetivos de arquitetura corporativa.</w:t>
      </w:r>
    </w:p>
    <w:p>
      <w:pPr>
        <w:spacing w:before="240"/>
      </w:pPr>
    </w:p>
    <w:p>
      <w:pPr>
        <w:spacing w:before="120" w:after="120"/>
      </w:pPr>
      <w:r>
        <w:rPr>
          <w:b/>
        </w:rPr>
        <w:t xml:space="preserve">Número do Procedimento: </w:t>
      </w:r>
      <w:r>
        <w:t>2</w:t>
      </w:r>
    </w:p>
    <w:p>
      <w:pPr>
        <w:spacing w:before="120" w:after="120"/>
      </w:pPr>
      <w:r>
        <w:rPr>
          <w:b/>
        </w:rPr>
        <w:t xml:space="preserve">Nome: </w:t>
      </w:r>
      <w:r>
        <w:t>Integrar critérios de arquitetura nas decisões de modelagem e integração</w:t>
      </w:r>
    </w:p>
    <w:p>
      <w:pPr>
        <w:spacing w:before="120" w:after="120"/>
      </w:pPr>
      <w:r>
        <w:rPr>
          <w:b/>
        </w:rPr>
        <w:t xml:space="preserve">Pré-requisito: </w:t>
      </w:r>
      <w:r>
        <w:t>Requer padrões</w:t>
      </w:r>
    </w:p>
    <w:p>
      <w:pPr>
        <w:spacing w:before="120" w:after="120"/>
      </w:pPr>
      <w:r>
        <w:rPr>
          <w:b/>
        </w:rPr>
        <w:t xml:space="preserve">Entregável: </w:t>
      </w:r>
      <w:r>
        <w:t>Templates de design governados</w:t>
      </w:r>
    </w:p>
    <w:p>
      <w:r>
        <w:rPr>
          <w:b/>
        </w:rPr>
        <w:t>Recomendações:</w:t>
      </w:r>
    </w:p>
    <w:p>
      <w:pPr>
        <w:pStyle w:val="ListBullet"/>
      </w:pPr>
      <w:r>
        <w:t>Integrar critérios baseados em modelagem e expectativas estruturais DAMA que definem como a arquitetura deve guiar o design conceitual, lógico e físico (Capítulo 10, p. 282–284).</w:t>
      </w:r>
    </w:p>
    <w:p>
      <w:pPr>
        <w:pStyle w:val="ListBullet"/>
      </w:pPr>
      <w:r>
        <w:t>Garantir que dependências estruturais estejam alinhadas com a governança da arquitetura funcional DAMA, cobrindo clareza semântica e significado de negócio (Capítulo 3.3, p. 58).</w:t>
      </w:r>
    </w:p>
    <w:p>
      <w:pPr>
        <w:pStyle w:val="ListBullet"/>
      </w:pPr>
      <w:r>
        <w:t>Validar decisões de integração usando regras de qualidade e metadados do DAMA (Capítulo 11, p. 308–311).</w:t>
      </w:r>
    </w:p>
    <w:p>
      <w:pPr>
        <w:pStyle w:val="ListBullet"/>
      </w:pPr>
      <w:r>
        <w:t>Confirmar alinhamento com responsabilidades de stewardship DAMA para definição e aprovação de padrões de modelagem (Capítulo 4, p. 86–89).</w:t>
      </w:r>
    </w:p>
    <w:p>
      <w:r>
        <w:rPr>
          <w:b/>
        </w:rPr>
        <w:t>Notas:</w:t>
      </w:r>
    </w:p>
    <w:p>
      <w:pPr>
        <w:pStyle w:val="ListBullet"/>
      </w:pPr>
      <w:r>
        <w:t>Usar lógica de verificação de design do CMMI para reforçar rastreabilidade e correção estrutural.</w:t>
      </w:r>
    </w:p>
    <w:p>
      <w:pPr>
        <w:spacing w:before="240"/>
      </w:pPr>
    </w:p>
    <w:p>
      <w:pPr>
        <w:spacing w:before="120" w:after="120"/>
      </w:pPr>
      <w:r>
        <w:rPr>
          <w:b/>
        </w:rPr>
        <w:t xml:space="preserve">Número do Procedimento: </w:t>
      </w:r>
      <w:r>
        <w:t>3</w:t>
      </w:r>
    </w:p>
    <w:p>
      <w:pPr>
        <w:spacing w:before="120" w:after="120"/>
      </w:pPr>
      <w:r>
        <w:rPr>
          <w:b/>
        </w:rPr>
        <w:t xml:space="preserve">Nome: </w:t>
      </w:r>
      <w:r>
        <w:t>Atualizar documentação do ciclo de vida com requisitos arquiteturais</w:t>
      </w:r>
    </w:p>
    <w:p>
      <w:pPr>
        <w:spacing w:before="120" w:after="120"/>
      </w:pPr>
      <w:r>
        <w:rPr>
          <w:b/>
        </w:rPr>
        <w:t xml:space="preserve">Pré-requisito: </w:t>
      </w:r>
      <w:r>
        <w:t>Requer redesenho de fluxo de trabalho</w:t>
      </w:r>
    </w:p>
    <w:p>
      <w:pPr>
        <w:spacing w:before="120" w:after="120"/>
      </w:pPr>
      <w:r>
        <w:rPr>
          <w:b/>
        </w:rPr>
        <w:t xml:space="preserve">Entregável: </w:t>
      </w:r>
      <w:r>
        <w:t>Documentação do ciclo de vida atualizada</w:t>
      </w:r>
    </w:p>
    <w:p>
      <w:r>
        <w:rPr>
          <w:b/>
        </w:rPr>
        <w:t>Recomendações:</w:t>
      </w:r>
    </w:p>
    <w:p>
      <w:pPr>
        <w:pStyle w:val="ListBullet"/>
      </w:pPr>
      <w:r>
        <w:t>Atualizar documentação conforme o modelo de ciclo de vida DAMA, que define pontos de verificação para governança da evolução estrutural (Capítulo 4.3, p. 92).</w:t>
      </w:r>
    </w:p>
    <w:p>
      <w:pPr>
        <w:pStyle w:val="ListBullet"/>
      </w:pPr>
      <w:r>
        <w:t>Assegure que os requisitos de arquitetura permaneçam alinhados com as expectativas DAMA para estrutura de metadata e documentação de lineage (Capítulo 10, p. 282).</w:t>
      </w:r>
    </w:p>
    <w:p>
      <w:pPr>
        <w:pStyle w:val="ListBullet"/>
      </w:pPr>
      <w:r>
        <w:t>Validar que descrições do ciclo de vida refletem responsabilidades DAMA para owners e stewards (Capítulo 4, p. 86–87).</w:t>
      </w:r>
    </w:p>
    <w:p>
      <w:pPr>
        <w:pStyle w:val="ListBullet"/>
      </w:pPr>
      <w:r>
        <w:t>Confirmar que dependências estruturais e pontos de mudança seguem regras de governança DAMA (Capítulo 3.5, p. 62–63).</w:t>
      </w:r>
    </w:p>
    <w:p>
      <w:r>
        <w:rPr>
          <w:b/>
        </w:rPr>
        <w:t>Notas:</w:t>
      </w:r>
    </w:p>
    <w:p>
      <w:pPr>
        <w:pStyle w:val="ListBullet"/>
      </w:pPr>
      <w:r>
        <w:t>Usar indicadores de capacidade do ciclo de vida DCAM para melhorar a consistência entre fases do ciclo de vida.</w:t>
      </w:r>
    </w:p>
    <w:p>
      <w:pPr>
        <w:spacing w:before="240"/>
      </w:pPr>
    </w:p>
    <w:p>
      <w:pPr>
        <w:spacing w:before="120" w:after="120"/>
      </w:pPr>
      <w:r>
        <w:rPr>
          <w:b/>
        </w:rPr>
        <w:t xml:space="preserve">Número do Procedimento: </w:t>
      </w:r>
      <w:r>
        <w:t>4</w:t>
      </w:r>
    </w:p>
    <w:p>
      <w:pPr>
        <w:spacing w:before="120" w:after="120"/>
      </w:pPr>
      <w:r>
        <w:rPr>
          <w:b/>
        </w:rPr>
        <w:t xml:space="preserve">Nome: </w:t>
      </w:r>
      <w:r>
        <w:t>Aplicar verificações estruturais em pontos decisórios do domínio</w:t>
      </w:r>
    </w:p>
    <w:p>
      <w:pPr>
        <w:spacing w:before="120" w:after="120"/>
      </w:pPr>
      <w:r>
        <w:rPr>
          <w:b/>
        </w:rPr>
        <w:t xml:space="preserve">Pré-requisito: </w:t>
      </w:r>
      <w:r>
        <w:t>Requer workflows governados</w:t>
      </w:r>
    </w:p>
    <w:p>
      <w:pPr>
        <w:spacing w:before="120" w:after="120"/>
      </w:pPr>
      <w:r>
        <w:rPr>
          <w:b/>
        </w:rPr>
        <w:t xml:space="preserve">Entregável: </w:t>
      </w:r>
      <w:r>
        <w:t>Evidência de controles arquiteturais</w:t>
      </w:r>
    </w:p>
    <w:p>
      <w:r>
        <w:rPr>
          <w:b/>
        </w:rPr>
        <w:t>Recomendações:</w:t>
      </w:r>
    </w:p>
    <w:p>
      <w:pPr>
        <w:pStyle w:val="ListBullet"/>
      </w:pPr>
      <w:r>
        <w:t>Aplicar verificações seguindo expectativas de governança estrutural DAMA que requerem validação de modelos, relacionamentos e semântica antes das aprovações (Capítulo 3.3, p. 58).</w:t>
      </w:r>
    </w:p>
    <w:p>
      <w:pPr>
        <w:pStyle w:val="ListBullet"/>
      </w:pPr>
      <w:r>
        <w:t>Garantir que as verificações incorporem indicadores de qualidade de metadados, linhagem e semântica de DAMA (Capítulos 10 e 11).</w:t>
      </w:r>
    </w:p>
    <w:p>
      <w:pPr>
        <w:pStyle w:val="ListBullet"/>
      </w:pPr>
      <w:r>
        <w:t>Valide que pontos de decisão reforcem responsabilidades de governança, incluindo aprovação, escalonamento e ação corretiva (Capítulo 4, p. 86–89).</w:t>
      </w:r>
    </w:p>
    <w:p>
      <w:pPr>
        <w:pStyle w:val="ListBullet"/>
      </w:pPr>
      <w:r>
        <w:t>Confirmar que verificações estruturais permanecem alinhadas com pontos de verificação do ciclo de vida DAMA (Capítulo 4.3, p. 92).</w:t>
      </w:r>
    </w:p>
    <w:p>
      <w:r>
        <w:rPr>
          <w:b/>
        </w:rPr>
        <w:t>Notas:</w:t>
      </w:r>
    </w:p>
    <w:p>
      <w:pPr>
        <w:pStyle w:val="ListBullet"/>
      </w:pPr>
      <w:r>
        <w:t>Use atividades de verificação CMMI para fortalecer a repetibilidade da aplicação do controle arquitetural.</w:t>
      </w:r>
    </w:p>
    <w:p>
      <w:pPr>
        <w:spacing w:before="240"/>
      </w:pPr>
    </w:p>
    <w:p>
      <w:pPr>
        <w:spacing w:before="120" w:after="120"/>
      </w:pPr>
      <w:r>
        <w:rPr>
          <w:b/>
        </w:rPr>
        <w:t xml:space="preserve">Número do Procedimento: </w:t>
      </w:r>
      <w:r>
        <w:t>5</w:t>
      </w:r>
    </w:p>
    <w:p>
      <w:pPr>
        <w:spacing w:before="120" w:after="120"/>
      </w:pPr>
      <w:r>
        <w:rPr>
          <w:b/>
        </w:rPr>
        <w:t xml:space="preserve">Nome: </w:t>
      </w:r>
      <w:r>
        <w:t>Acompanhar aderência arquitetural entre domínios</w:t>
      </w:r>
    </w:p>
    <w:p>
      <w:pPr>
        <w:spacing w:before="120" w:after="120"/>
      </w:pPr>
      <w:r>
        <w:rPr>
          <w:b/>
        </w:rPr>
        <w:t xml:space="preserve">Pré-requisito: </w:t>
      </w:r>
      <w:r>
        <w:t>Requer rotinas de monitoramento</w:t>
      </w:r>
    </w:p>
    <w:p>
      <w:pPr>
        <w:spacing w:before="120" w:after="120"/>
      </w:pPr>
      <w:r>
        <w:rPr>
          <w:b/>
        </w:rPr>
        <w:t xml:space="preserve">Entregável: </w:t>
      </w:r>
      <w:r>
        <w:t>Registro de conformidade arquitetural</w:t>
      </w:r>
    </w:p>
    <w:p>
      <w:r>
        <w:rPr>
          <w:b/>
        </w:rPr>
        <w:t>Recomendações:</w:t>
      </w:r>
    </w:p>
    <w:p>
      <w:pPr>
        <w:pStyle w:val="ListBullet"/>
      </w:pPr>
      <w:r>
        <w:t>Rastrear aderência usando as expectativas de monitoramento de governança DAMA que enfatizam consistência estrutural e alinhamento entre domínios (Capítulo 3.6, p. 64).</w:t>
      </w:r>
    </w:p>
    <w:p>
      <w:pPr>
        <w:pStyle w:val="ListBullet"/>
      </w:pPr>
      <w:r>
        <w:t>Garantir que as verificações de aderência incluam controles de metadados e semânticos definidos por DAMA (Capítulo 10, p. 282–284).</w:t>
      </w:r>
    </w:p>
    <w:p>
      <w:pPr>
        <w:pStyle w:val="ListBullet"/>
      </w:pPr>
      <w:r>
        <w:t>Valide desvios em relação às expectativas dos papéis do ciclo de vida DAMA (Capítulo 4.3, p. 92).</w:t>
      </w:r>
    </w:p>
    <w:p>
      <w:pPr>
        <w:pStyle w:val="ListBullet"/>
      </w:pPr>
      <w:r>
        <w:t>Confirmar que a captura de evidências segue práticas de documentação de artefatos DAMA (Capítulo 3 Apêndice, p. 69).</w:t>
      </w:r>
    </w:p>
    <w:p>
      <w:r>
        <w:rPr>
          <w:b/>
        </w:rPr>
        <w:t>Notas:</w:t>
      </w:r>
    </w:p>
    <w:p>
      <w:pPr>
        <w:pStyle w:val="ListBullet"/>
      </w:pPr>
      <w:r>
        <w:t>Usar indicadores de garantia DCAM para identificar pontos críticos estruturais e áreas para melhoria.</w:t>
      </w:r>
    </w:p>
    <w:p>
      <w:pPr>
        <w:spacing w:before="240"/>
      </w:pPr>
    </w:p>
    <w:p>
      <w:pPr>
        <w:spacing w:before="120" w:after="120"/>
      </w:pPr>
      <w:r>
        <w:rPr>
          <w:b/>
        </w:rPr>
        <w:t xml:space="preserve">Número do Procedimento: </w:t>
      </w:r>
      <w:r>
        <w:t>6</w:t>
      </w:r>
    </w:p>
    <w:p>
      <w:pPr>
        <w:spacing w:before="120" w:after="120"/>
      </w:pPr>
      <w:r>
        <w:rPr>
          <w:b/>
        </w:rPr>
        <w:t xml:space="preserve">Nome: </w:t>
      </w:r>
      <w:r>
        <w:t>Reforço da Institucionalização Estrutural</w:t>
      </w:r>
    </w:p>
    <w:p>
      <w:pPr>
        <w:spacing w:before="120" w:after="120"/>
      </w:pPr>
      <w:r>
        <w:rPr>
          <w:b/>
        </w:rPr>
        <w:t xml:space="preserve">Pré-requisito: </w:t>
      </w:r>
      <w:r>
        <w:t>Requer mecanismo de governança aprovado e base de política formalizada</w:t>
      </w:r>
    </w:p>
    <w:p>
      <w:pPr>
        <w:spacing w:before="120" w:after="120"/>
      </w:pPr>
      <w:r>
        <w:rPr>
          <w:b/>
        </w:rPr>
        <w:t xml:space="preserve">Entregável: </w:t>
      </w:r>
      <w:r>
        <w:t>Procedimento de governança institucionalizado com proprietário de controle designado e evidência documentada de execução repetível</w:t>
      </w:r>
    </w:p>
    <w:p>
      <w:r>
        <w:rPr>
          <w:b/>
        </w:rPr>
        <w:t>Recomendações:</w:t>
      </w:r>
    </w:p>
    <w:p>
      <w:pPr>
        <w:pStyle w:val="ListBullet"/>
      </w:pPr>
      <w:r>
        <w:t>Designar um Proprietário de Controle formalmente responsável por sustentar o mecanismo de governança.</w:t>
      </w:r>
    </w:p>
    <w:p>
      <w:pPr>
        <w:pStyle w:val="ListBullet"/>
      </w:pPr>
      <w:r>
        <w:t>Definir critérios objetivos de aceitação confirmando execução estável e consistente.</w:t>
      </w:r>
    </w:p>
    <w:p>
      <w:pPr>
        <w:pStyle w:val="ListBullet"/>
      </w:pPr>
      <w:r>
        <w:t>Produzir artefatos documentados evidenciando aplicação operacional repetível.</w:t>
      </w:r>
    </w:p>
    <w:p>
      <w:pPr>
        <w:pStyle w:val="ListBullet"/>
      </w:pPr>
      <w:r>
        <w:t>Garantir integração nas rotinas organizacionais estabelecidas.</w:t>
      </w:r>
    </w:p>
    <w:p>
      <w:pPr>
        <w:pStyle w:val="ListBullet"/>
      </w:pPr>
      <w:r>
        <w:t>Manter rastreabilidade entre o mecanismo de governança e a política governante.</w:t>
      </w:r>
    </w:p>
    <w:p>
      <w:pPr>
        <w:pStyle w:val="ListBullet"/>
      </w:pPr>
      <w:r>
        <w:t>Mapear Fluxos de Trabalho Existentes</w:t>
      </w:r>
    </w:p>
    <w:p>
      <w:pPr>
        <w:pStyle w:val="ListBullet"/>
      </w:pPr>
      <w:r>
        <w:t>Definir Pontos de Verificação</w:t>
      </w:r>
    </w:p>
    <w:p>
      <w:pPr>
        <w:pStyle w:val="ListBullet"/>
      </w:pPr>
      <w:r>
        <w:t>Criar Modelos Padronizados</w:t>
      </w:r>
    </w:p>
    <w:p>
      <w:pPr>
        <w:pStyle w:val="ListBullet"/>
      </w:pPr>
      <w:r>
        <w:t>Atribuir Papéis e Responsabilidades</w:t>
      </w:r>
    </w:p>
    <w:p>
      <w:pPr>
        <w:pStyle w:val="ListBullet"/>
      </w:pPr>
      <w:r>
        <w:t>Validar Alinhamento com DCAM</w:t>
      </w:r>
    </w:p>
    <w:p>
      <w:pPr>
        <w:pStyle w:val="ListBullet"/>
      </w:pPr>
      <w:r>
        <w:t>Revisão e Aprovação das Partes Interessadas</w:t>
      </w:r>
    </w:p>
    <w:p>
      <w:pPr>
        <w:pStyle w:val="ListBullet"/>
      </w:pPr>
      <w:r>
        <w:t>Comunicar e Treinar</w:t>
      </w:r>
    </w:p>
    <w:p>
      <w:pPr>
        <w:pStyle w:val="ListBullet"/>
      </w:pPr>
      <w:r>
        <w:t>Monitorar e Iterar</w:t>
      </w:r>
    </w:p>
    <w:p>
      <w:pPr>
        <w:pStyle w:val="Heading4"/>
      </w:pPr>
      <w:r>
        <w:t>3.5.2.3 Componentes Estruturais de Governança</w:t>
      </w:r>
    </w:p>
    <w:p>
      <w:r>
        <w:rPr>
          <w:b/>
        </w:rPr>
        <w:t xml:space="preserve">Propósito: </w:t>
      </w:r>
      <w:r>
        <w:t>Delimitar a estrutura de governança que apoia a ação, incluindo papéis, responsabilidades e processos.</w:t>
      </w:r>
    </w:p>
    <w:p>
      <w:r>
        <w:rPr>
          <w:b/>
        </w:rPr>
        <w:t xml:space="preserve">Conteúdo esperado: </w:t>
      </w:r>
      <w:r>
        <w:t>Cobertura de ativos organizacionais e de dados, temas de governança, estrutura, autoridade de decisão, processos, interfaces e exclusões.</w:t>
      </w:r>
    </w:p>
    <w:p>
      <w:pPr>
        <w:pStyle w:val="Heading6"/>
      </w:pPr>
      <w:r>
        <w:t>Elementos de exemplo</w:t>
      </w:r>
    </w:p>
    <w:p>
      <w:pPr>
        <w:pStyle w:val="Heading5"/>
      </w:pPr>
      <w:r>
        <w:t>Cobertura Organizacional: Todos os departamentos envolvidos na gestão de dados.</w:t>
      </w:r>
    </w:p>
    <w:p>
      <w:pPr>
        <w:pStyle w:val="Heading5"/>
      </w:pPr>
      <w:r>
        <w:t>Cobertura de Ativos de Dados: Todos os ativos de dados sujeitos à governança.</w:t>
      </w:r>
    </w:p>
    <w:p>
      <w:pPr>
        <w:pStyle w:val="Heading5"/>
      </w:pPr>
      <w:r>
        <w:t>Temas de Governança: Qualidade dos dados, conformidade e alinhamento da arquitetura.</w:t>
      </w:r>
    </w:p>
    <w:p>
      <w:pPr>
        <w:pStyle w:val="Heading5"/>
      </w:pPr>
      <w:r>
        <w:t>Estrutura Organizacional de Governança: Conselho de Governança de Dados, Escritório de Governança de Dados, Proprietários de Dados, Administradores de Dados, Custódios de Dados.</w:t>
      </w:r>
    </w:p>
    <w:p>
      <w:pPr>
        <w:pStyle w:val="Heading5"/>
      </w:pPr>
      <w:r>
        <w:t>Modelo de Autoridade de Decisão: Papéis e responsabilidades definidos para a tomada de decisões dentro da estrutura de governança.</w:t>
      </w:r>
    </w:p>
    <w:p>
      <w:pPr>
        <w:pStyle w:val="Heading5"/>
      </w:pPr>
      <w:r>
        <w:t>Processos de Governança</w:t>
      </w:r>
    </w:p>
    <w:p>
      <w:pPr>
        <w:pStyle w:val="ListBullet"/>
      </w:pPr>
      <w:r>
        <w:t>Estabelecer pontos de verificação em fluxos de trabalho</w:t>
      </w:r>
    </w:p>
    <w:p>
      <w:pPr>
        <w:pStyle w:val="ListBullet"/>
      </w:pPr>
      <w:r>
        <w:t>Monitorar a conformidade com os padrões de governança</w:t>
      </w:r>
    </w:p>
    <w:p>
      <w:pPr>
        <w:pStyle w:val="ListBullet"/>
      </w:pPr>
      <w:r>
        <w:t>Revisar e aprovar modelos de fluxo de trabalho</w:t>
      </w:r>
    </w:p>
    <w:p>
      <w:pPr>
        <w:pStyle w:val="ListBullet"/>
      </w:pPr>
      <w:r>
        <w:t>Realizar sessões de treinamento</w:t>
      </w:r>
    </w:p>
    <w:p>
      <w:pPr>
        <w:pStyle w:val="ListBullet"/>
      </w:pPr>
      <w:r>
        <w:t>Realizar auditorias regulares</w:t>
      </w:r>
    </w:p>
    <w:p>
      <w:pPr>
        <w:pStyle w:val="Heading5"/>
      </w:pPr>
      <w:r>
        <w:t>Interfaces com Outras Estruturas de Governança: Coordenação com outros domínios de governança conforme necessário.</w:t>
      </w:r>
    </w:p>
    <w:p>
      <w:pPr>
        <w:pStyle w:val="Heading5"/>
      </w:pPr>
      <w:r>
        <w:t>Exclusões Explícitas: Quaisquer fluxos de trabalho que não envolvam princípios de governança de dados.</w:t>
      </w:r>
    </w:p>
    <w:p>
      <w:pPr>
        <w:pStyle w:val="Heading4"/>
      </w:pPr>
      <w:r>
        <w:t>3.5.2.4 Mecanismos de Controle e Supervisão</w:t>
      </w:r>
    </w:p>
    <w:p>
      <w:r>
        <w:rPr>
          <w:b/>
        </w:rPr>
        <w:t xml:space="preserve">Propósito: </w:t>
      </w:r>
      <w:r>
        <w:t>Definir os mecanismos formais de controle e supervisão aplicáveis a esta ação.</w:t>
      </w:r>
    </w:p>
    <w:p>
      <w:pPr>
        <w:pStyle w:val="Heading5"/>
      </w:pPr>
      <w:r>
        <w:t>Monitoramento e KPIs</w:t>
      </w:r>
    </w:p>
    <w:p>
      <w:pPr>
        <w:pStyle w:val="ListBullet"/>
      </w:pPr>
      <w:r>
        <w:t>Definir indicadores mensuráveis alinhados com o objetivo da ação</w:t>
      </w:r>
    </w:p>
    <w:p>
      <w:pPr>
        <w:pStyle w:val="ListBullet"/>
      </w:pPr>
      <w:r>
        <w:t>Definir frequência de medição e cadência de relatórios</w:t>
      </w:r>
    </w:p>
    <w:p>
      <w:pPr>
        <w:pStyle w:val="ListBullet"/>
      </w:pPr>
      <w:r>
        <w:t>Identificar a fonte de dados para cada KPI</w:t>
      </w:r>
    </w:p>
    <w:p>
      <w:pPr>
        <w:pStyle w:val="ListBullet"/>
      </w:pPr>
      <w:r>
        <w:t>Atribuir papel de monitoramento responsável</w:t>
      </w:r>
    </w:p>
    <w:p>
      <w:pPr>
        <w:pStyle w:val="Heading5"/>
      </w:pPr>
      <w:r>
        <w:t>Alinhamento de Conformidade e Controle Interno</w:t>
      </w:r>
    </w:p>
    <w:p>
      <w:pPr>
        <w:pStyle w:val="ListBullet"/>
      </w:pPr>
      <w:r>
        <w:t>Referenciar mecanismos estruturados de controle interno</w:t>
      </w:r>
    </w:p>
    <w:p>
      <w:pPr>
        <w:pStyle w:val="ListBullet"/>
      </w:pPr>
      <w:r>
        <w:t>Definir pontos de verificação de validação</w:t>
      </w:r>
    </w:p>
    <w:p>
      <w:pPr>
        <w:pStyle w:val="Heading5"/>
      </w:pPr>
      <w:r>
        <w:t>Modelo de Escalonamento Operacional</w:t>
      </w:r>
    </w:p>
    <w:p>
      <w:pPr>
        <w:pStyle w:val="ListBullet"/>
      </w:pPr>
      <w:r>
        <w:t>Definir limites de escalonamento</w:t>
      </w:r>
    </w:p>
    <w:p>
      <w:pPr>
        <w:pStyle w:val="ListBullet"/>
      </w:pPr>
      <w:r>
        <w:t>Atribuir autoridade de escalonamento responsável</w:t>
      </w:r>
    </w:p>
    <w:p>
      <w:pPr>
        <w:pStyle w:val="ListBullet"/>
      </w:pPr>
      <w:r>
        <w:t>Definir fluxo de trabalho de resolução documentado</w:t>
      </w:r>
    </w:p>
    <w:p>
      <w:pPr>
        <w:pStyle w:val="Heading2"/>
      </w:pPr>
      <w:r>
        <w:t>3.6 DMD · Data Modelling and Design</w:t>
      </w:r>
    </w:p>
    <w:p>
      <w:pPr>
        <w:pStyle w:val="Heading3"/>
      </w:pPr>
      <w:r>
        <w:t>3.6.1 Contextualização do Domínio Avaliado</w:t>
      </w:r>
    </w:p>
    <w:p>
      <w:r>
        <w:rPr>
          <w:b/>
        </w:rPr>
        <w:t xml:space="preserve">Descrição: </w:t>
      </w:r>
      <w:r>
        <w:t>Este domínio examina práticas de modelagem conceitual, lógica e física, os padrões que regem sua criação e manutenção, e o grau em que definições estruturais alinham-se com a semântica de negócios. A modelagem fornece a base estrutural para Governança de Dados ao estabelecer significado compartilhado, estruturas de dados coerentes e relacionamentos rastreáveis em toda a organização. Isso está alinhado com a classificação de modelagem de DAMA como uma função estrutural central que possibilita consistência, interoperabilidade e gestão confiável do ciclo de vida dos dados (DAMA International, 2017).</w:t>
      </w:r>
    </w:p>
    <w:p>
      <w:r>
        <w:rPr>
          <w:b/>
        </w:rPr>
        <w:t xml:space="preserve">Objetivo: </w:t>
      </w:r>
      <w:r>
        <w:t>Definir o domínio específico e contextualizar a ação de governança.</w:t>
      </w:r>
    </w:p>
    <w:p>
      <w:r>
        <w:rPr>
          <w:b/>
        </w:rPr>
        <w:t xml:space="preserve">Conteúdo esperado: </w:t>
      </w:r>
      <w:r>
        <w:t>Definição do domínio, contexto organizacional e posicionamento  de maturidade com base na pontuação obtida no assessment.</w:t>
      </w:r>
    </w:p>
    <w:p>
      <w:pPr>
        <w:spacing w:after="120"/>
      </w:pPr>
      <w:r>
        <w:t>Nível atual de maturidade: Nível 5 (Otimizado).</w:t>
      </w:r>
    </w:p>
    <w:p>
      <w:pPr>
        <w:pStyle w:val="Heading4"/>
      </w:pPr>
      <w:r>
        <w:t>Contexto Organizacional: Empresa de médio porte com foco na tomada de decisões orientadas por dados.</w:t>
      </w:r>
    </w:p>
    <w:p>
      <w:pPr>
        <w:spacing w:after="120"/>
      </w:pPr>
      <w:r>
        <w:t>Código da ação acionada: DMD-06</w:t>
      </w:r>
    </w:p>
    <w:p>
      <w:pPr>
        <w:pStyle w:val="Heading3"/>
      </w:pPr>
      <w:r>
        <w:t>3.6.2 Pacote de Procedimentos Prescritivos</w:t>
      </w:r>
    </w:p>
    <w:p>
      <w:pPr>
        <w:spacing w:after="120"/>
      </w:pPr>
      <w:r>
        <w:t>O pacote de procedimentos prescritivos consolida ações específicas do domínio e  mecanismos operacionais necessários para evolução de maturidade.</w:t>
        <w:br/>
      </w:r>
    </w:p>
    <w:p>
      <w:pPr>
        <w:pStyle w:val="Heading4"/>
      </w:pPr>
      <w:r>
        <w:t>3.6.2.1 Definição de Ação</w:t>
      </w:r>
    </w:p>
    <w:p>
      <w:r>
        <w:rPr>
          <w:b/>
        </w:rPr>
        <w:t xml:space="preserve">Objetivo: </w:t>
      </w:r>
      <w:r>
        <w:t>Definir claramente a ação abordada no documento.</w:t>
      </w:r>
    </w:p>
    <w:p>
      <w:r>
        <w:rPr>
          <w:b/>
        </w:rPr>
        <w:t xml:space="preserve">Conteúdo Esperado: </w:t>
      </w:r>
      <w:r>
        <w:t>Código da ação, título, objetivo e limites de escopo.</w:t>
      </w:r>
    </w:p>
    <w:p>
      <w:pPr>
        <w:pStyle w:val="Heading5"/>
      </w:pPr>
      <w:r>
        <w:t>Elementos de Amostra</w:t>
      </w:r>
    </w:p>
    <w:p>
      <w:pPr>
        <w:pStyle w:val="Heading5"/>
      </w:pPr>
      <w:r>
        <w:t>Código e Título da Ação: DMD-06 - Automatizar a validação de modelagem e qualidade semântica</w:t>
      </w:r>
    </w:p>
    <w:p>
      <w:pPr>
        <w:pStyle w:val="Heading5"/>
      </w:pPr>
      <w:r>
        <w:t>Objetivo da Ação: Estabelecer um conjunto abrangente de KPI para validação de modelagem.</w:t>
      </w:r>
    </w:p>
    <w:p>
      <w:pPr>
        <w:pStyle w:val="Heading5"/>
      </w:pPr>
      <w:r>
        <w:t>Limites de Escopo da Ação: Aplicável a todas as práticas de modelagem de dados dentro do DMD.</w:t>
      </w:r>
    </w:p>
    <w:p>
      <w:pPr>
        <w:pStyle w:val="Heading4"/>
      </w:pPr>
      <w:r>
        <w:t>3.6.2.2 Definição de Procedimento</w:t>
      </w:r>
    </w:p>
    <w:p>
      <w:r>
        <w:rPr>
          <w:b/>
        </w:rPr>
        <w:t xml:space="preserve">Objetivo: </w:t>
      </w:r>
      <w:r>
        <w:t>Delimitar os procedimentos específicos a serem seguidos para a ação.</w:t>
      </w:r>
    </w:p>
    <w:p>
      <w:r>
        <w:rPr>
          <w:b/>
        </w:rPr>
        <w:t xml:space="preserve">Conteúdo Esperado: </w:t>
      </w:r>
      <w:r>
        <w:t>Objetivo, pré-requisitos, entregáveis e uma estrutura de execução passo a passo.</w:t>
      </w:r>
    </w:p>
    <w:p>
      <w:pPr>
        <w:pStyle w:val="Heading5"/>
      </w:pPr>
      <w:r>
        <w:t>Elementos de Amostra</w:t>
      </w:r>
    </w:p>
    <w:p>
      <w:pPr>
        <w:pStyle w:val="Heading5"/>
      </w:pPr>
      <w:r>
        <w:t>Objetivo do Procedimento: Definir indicadores de validação de modelagem que garantam qualidade semântica.</w:t>
      </w:r>
    </w:p>
    <w:p>
      <w:pPr>
        <w:pStyle w:val="Heading5"/>
      </w:pPr>
      <w:r>
        <w:t>Pré-requisitos: Requer fluxos de trabalho DMD-04.</w:t>
      </w:r>
    </w:p>
    <w:p>
      <w:pPr>
        <w:pStyle w:val="Heading5"/>
      </w:pPr>
      <w:r>
        <w:t>Entregáveis: Conjunto de KPI de modelagem.</w:t>
      </w:r>
    </w:p>
    <w:p>
      <w:pPr>
        <w:pStyle w:val="Heading5"/>
      </w:pPr>
      <w:r>
        <w:t>Estrutura de Execução Passo a Passo</w:t>
      </w:r>
    </w:p>
    <w:p>
      <w:pPr>
        <w:pStyle w:val="Heading4"/>
      </w:pPr>
      <w:r>
        <w:t>Elementos de exemplo</w:t>
      </w:r>
    </w:p>
    <w:p>
      <w:pPr>
        <w:spacing w:before="120" w:after="120"/>
      </w:pPr>
      <w:r>
        <w:rPr>
          <w:b/>
        </w:rPr>
        <w:t xml:space="preserve">Número do Procedimento: </w:t>
      </w:r>
      <w:r>
        <w:t>1</w:t>
      </w:r>
    </w:p>
    <w:p>
      <w:pPr>
        <w:spacing w:before="120" w:after="120"/>
      </w:pPr>
      <w:r>
        <w:rPr>
          <w:b/>
        </w:rPr>
        <w:t xml:space="preserve">Nome: </w:t>
      </w:r>
      <w:r>
        <w:t>Definir indicadores de validação de modelagem</w:t>
      </w:r>
    </w:p>
    <w:p>
      <w:pPr>
        <w:spacing w:before="120" w:after="120"/>
      </w:pPr>
      <w:r>
        <w:rPr>
          <w:b/>
        </w:rPr>
        <w:t xml:space="preserve">Pré-requisito: </w:t>
      </w:r>
      <w:r>
        <w:t>Requer fluxos de trabalho DMD-04</w:t>
      </w:r>
    </w:p>
    <w:p>
      <w:pPr>
        <w:spacing w:before="120" w:after="120"/>
      </w:pPr>
      <w:r>
        <w:rPr>
          <w:b/>
        </w:rPr>
        <w:t xml:space="preserve">Entregável: </w:t>
      </w:r>
      <w:r>
        <w:t>Conjunto de modelagem KPI</w:t>
      </w:r>
    </w:p>
    <w:p>
      <w:r>
        <w:rPr>
          <w:b/>
        </w:rPr>
        <w:t>Recomendações:</w:t>
      </w:r>
    </w:p>
    <w:p>
      <w:pPr>
        <w:pStyle w:val="ListBullet"/>
      </w:pPr>
      <w:r>
        <w:t>Definir KPIs seguindo a orientação DAMA para completude de modelagem, coerência semântica e consistência de linhagem (Capítulo 10, p. 282–284).</w:t>
      </w:r>
    </w:p>
    <w:p>
      <w:pPr>
        <w:pStyle w:val="ListBullet"/>
      </w:pPr>
      <w:r>
        <w:t>Garantir que KPIs reflitam expectativas do ciclo de vida DAMA para definições estáveis de dados e relacionamentos semânticos aprovados (Capítulo 4.3, p. 92).</w:t>
      </w:r>
    </w:p>
    <w:p>
      <w:pPr>
        <w:pStyle w:val="ListBullet"/>
      </w:pPr>
      <w:r>
        <w:t>Validar alinhamento com dimensões de qualidade DAMA, incluindo precisão, consistência e integridade (Capítulo 11, p. 308–311).</w:t>
      </w:r>
    </w:p>
    <w:p>
      <w:pPr>
        <w:pStyle w:val="ListBullet"/>
      </w:pPr>
      <w:r>
        <w:t>Confirmar que papéis de governança e propriedade estão representados conforme princípios de governança DAMA (Capítulo 3.2, p. 55–57).</w:t>
      </w:r>
    </w:p>
    <w:p>
      <w:r>
        <w:rPr>
          <w:b/>
        </w:rPr>
        <w:t>Notas:</w:t>
      </w:r>
    </w:p>
    <w:p>
      <w:pPr>
        <w:pStyle w:val="ListBullet"/>
      </w:pPr>
      <w:r>
        <w:t>Utilizar indicadores de capacidade DCAM para criar escalas de medição para modelar maturidade.</w:t>
      </w:r>
    </w:p>
    <w:p>
      <w:pPr>
        <w:spacing w:before="240"/>
      </w:pPr>
    </w:p>
    <w:p>
      <w:pPr>
        <w:spacing w:before="120" w:after="120"/>
      </w:pPr>
      <w:r>
        <w:rPr>
          <w:b/>
        </w:rPr>
        <w:t xml:space="preserve">Número do Procedimento: </w:t>
      </w:r>
      <w:r>
        <w:t>2</w:t>
      </w:r>
    </w:p>
    <w:p>
      <w:pPr>
        <w:spacing w:before="120" w:after="120"/>
      </w:pPr>
      <w:r>
        <w:rPr>
          <w:b/>
        </w:rPr>
        <w:t xml:space="preserve">Nome: </w:t>
      </w:r>
      <w:r>
        <w:t>Estabelecer regras automatizadas de validação semântica e estrutural</w:t>
      </w:r>
    </w:p>
    <w:p>
      <w:pPr>
        <w:spacing w:before="120" w:after="120"/>
      </w:pPr>
      <w:r>
        <w:rPr>
          <w:b/>
        </w:rPr>
        <w:t xml:space="preserve">Pré-requisito: </w:t>
      </w:r>
      <w:r>
        <w:t>Requer critérios de modelagem</w:t>
      </w:r>
    </w:p>
    <w:p>
      <w:pPr>
        <w:spacing w:before="120" w:after="120"/>
      </w:pPr>
      <w:r>
        <w:rPr>
          <w:b/>
        </w:rPr>
        <w:t xml:space="preserve">Entregável: </w:t>
      </w:r>
      <w:r>
        <w:t>Conjunto automatizado de regras de validação</w:t>
      </w:r>
    </w:p>
    <w:p>
      <w:r>
        <w:rPr>
          <w:b/>
        </w:rPr>
        <w:t>Recomendações:</w:t>
      </w:r>
    </w:p>
    <w:p>
      <w:pPr>
        <w:pStyle w:val="ListBullet"/>
      </w:pPr>
      <w:r>
        <w:t>Estabelecer regras seguindo requisitos semânticos e de metadados DAMA (Capítulo 9, p. 236).</w:t>
      </w:r>
    </w:p>
    <w:p>
      <w:pPr>
        <w:pStyle w:val="ListBullet"/>
      </w:pPr>
      <w:r>
        <w:t>Garantir que a automação verifique relacionamentos, definições e caminhos de linhagem conforme descrito nas orientações de modelagem DAMA (Capítulo 10, p. 282–284).</w:t>
      </w:r>
    </w:p>
    <w:p>
      <w:pPr>
        <w:pStyle w:val="ListBullet"/>
      </w:pPr>
      <w:r>
        <w:t>Validar alinhamento do ciclo de vida usando pontos de verificação de controle DAMA (Capítulo 4.3, p. 92).</w:t>
      </w:r>
    </w:p>
    <w:p>
      <w:pPr>
        <w:pStyle w:val="ListBullet"/>
      </w:pPr>
      <w:r>
        <w:t>Documentar regras automatizadas usando padrões de artefatos DAMA (Capítulo 3 Apêndice, p. 69–70).</w:t>
      </w:r>
    </w:p>
    <w:p>
      <w:r>
        <w:rPr>
          <w:b/>
        </w:rPr>
        <w:t>Notas:</w:t>
      </w:r>
    </w:p>
    <w:p>
      <w:pPr>
        <w:pStyle w:val="ListBullet"/>
      </w:pPr>
      <w:r>
        <w:t>Use critérios de prontidão para automação CMMI para confirmar estabilidade antes de escalar verificações automatizadas.</w:t>
      </w:r>
    </w:p>
    <w:p>
      <w:pPr>
        <w:spacing w:before="240"/>
      </w:pPr>
    </w:p>
    <w:p>
      <w:pPr>
        <w:spacing w:before="120" w:after="120"/>
      </w:pPr>
      <w:r>
        <w:rPr>
          <w:b/>
        </w:rPr>
        <w:t xml:space="preserve">Número do Procedimento: </w:t>
      </w:r>
      <w:r>
        <w:t>3</w:t>
      </w:r>
    </w:p>
    <w:p>
      <w:pPr>
        <w:spacing w:before="120" w:after="120"/>
      </w:pPr>
      <w:r>
        <w:rPr>
          <w:b/>
        </w:rPr>
        <w:t xml:space="preserve">Nome: </w:t>
      </w:r>
      <w:r>
        <w:t>Implementar dashboards de monitoramento de modelagem</w:t>
      </w:r>
    </w:p>
    <w:p>
      <w:pPr>
        <w:spacing w:before="120" w:after="120"/>
      </w:pPr>
      <w:r>
        <w:rPr>
          <w:b/>
        </w:rPr>
        <w:t xml:space="preserve">Pré-requisito: </w:t>
      </w:r>
      <w:r>
        <w:t>Requer regras de validação</w:t>
      </w:r>
    </w:p>
    <w:p>
      <w:pPr>
        <w:spacing w:before="120" w:after="120"/>
      </w:pPr>
      <w:r>
        <w:rPr>
          <w:b/>
        </w:rPr>
        <w:t xml:space="preserve">Entregável: </w:t>
      </w:r>
      <w:r>
        <w:t>Painel de monitoramento de modelagem</w:t>
      </w:r>
    </w:p>
    <w:p>
      <w:r>
        <w:rPr>
          <w:b/>
        </w:rPr>
        <w:t>Recomendações:</w:t>
      </w:r>
    </w:p>
    <w:p>
      <w:pPr>
        <w:pStyle w:val="ListBullet"/>
      </w:pPr>
      <w:r>
        <w:t>Implemente dashboards usando princípios de monitoramento de governança DAMA (Capítulo 3.6, p. 64).</w:t>
      </w:r>
    </w:p>
    <w:p>
      <w:pPr>
        <w:pStyle w:val="ListBullet"/>
      </w:pPr>
      <w:r>
        <w:t>Incluir indicadores semânticos, de qualidade e metadados alinhados às expectativas do DAMA (Capítulos 9 a 11).</w:t>
      </w:r>
    </w:p>
    <w:p>
      <w:pPr>
        <w:pStyle w:val="ListBullet"/>
      </w:pPr>
      <w:r>
        <w:t>Validar alinhamento do ciclo de vida usando pontos de verificação DAMA (Capítulo 4.3, p. 92).</w:t>
      </w:r>
    </w:p>
    <w:p>
      <w:pPr>
        <w:pStyle w:val="ListBullet"/>
      </w:pPr>
      <w:r>
        <w:t>Garantir que indicadores do painel mapeiem para responsabilidades de propriedade e stewardship descritas pelo DAMA (Capítulo 3.2, p. 55–57).</w:t>
      </w:r>
    </w:p>
    <w:p>
      <w:r>
        <w:rPr>
          <w:b/>
        </w:rPr>
        <w:t>Notas:</w:t>
      </w:r>
    </w:p>
    <w:p>
      <w:pPr>
        <w:pStyle w:val="ListBullet"/>
      </w:pPr>
      <w:r>
        <w:t>Utilize práticas de visualização de qualidade de dados DCAM para melhorar a clareza do desempenho de modelagem.</w:t>
      </w:r>
    </w:p>
    <w:p>
      <w:pPr>
        <w:spacing w:before="240"/>
      </w:pPr>
    </w:p>
    <w:p>
      <w:pPr>
        <w:spacing w:before="120" w:after="120"/>
      </w:pPr>
      <w:r>
        <w:rPr>
          <w:b/>
        </w:rPr>
        <w:t xml:space="preserve">Número do Procedimento: </w:t>
      </w:r>
      <w:r>
        <w:t>4</w:t>
      </w:r>
    </w:p>
    <w:p>
      <w:pPr>
        <w:spacing w:before="120" w:after="120"/>
      </w:pPr>
      <w:r>
        <w:rPr>
          <w:b/>
        </w:rPr>
        <w:t xml:space="preserve">Nome: </w:t>
      </w:r>
      <w:r>
        <w:t>Habilitar alertas automatizados de conformidade semântica</w:t>
      </w:r>
    </w:p>
    <w:p>
      <w:pPr>
        <w:spacing w:before="120" w:after="120"/>
      </w:pPr>
      <w:r>
        <w:rPr>
          <w:b/>
        </w:rPr>
        <w:t xml:space="preserve">Pré-requisito: </w:t>
      </w:r>
      <w:r>
        <w:t>Requer dashboards ativos</w:t>
      </w:r>
    </w:p>
    <w:p>
      <w:pPr>
        <w:spacing w:before="120" w:after="120"/>
      </w:pPr>
      <w:r>
        <w:rPr>
          <w:b/>
        </w:rPr>
        <w:t xml:space="preserve">Entregável: </w:t>
      </w:r>
      <w:r>
        <w:t>Feed de alertas semânticos</w:t>
      </w:r>
    </w:p>
    <w:p>
      <w:r>
        <w:rPr>
          <w:b/>
        </w:rPr>
        <w:t>Recomendações:</w:t>
      </w:r>
    </w:p>
    <w:p>
      <w:pPr>
        <w:pStyle w:val="ListBullet"/>
      </w:pPr>
      <w:r>
        <w:t>Habilitar alertas conforme práticas de escalonamento e supervisão DAMA (Capítulo 3.4, p. 60).</w:t>
      </w:r>
    </w:p>
    <w:p>
      <w:pPr>
        <w:pStyle w:val="ListBullet"/>
      </w:pPr>
      <w:r>
        <w:t>Garantir que alertas reflitam pontos de ruptura semânticos, metadados ausentes ou definições inconsistentes alinhadas com orientação DAMA (Capítulo 10, p. 282–284).</w:t>
      </w:r>
    </w:p>
    <w:p>
      <w:pPr>
        <w:pStyle w:val="ListBullet"/>
      </w:pPr>
      <w:r>
        <w:t>Validar impacto no ciclo de vida usando checkpoints DAMA (Capítulo 4.3, p. 92).</w:t>
      </w:r>
    </w:p>
    <w:p>
      <w:pPr>
        <w:pStyle w:val="ListBullet"/>
      </w:pPr>
      <w:r>
        <w:t>Confirmar que as responsabilidades de governança para triagem de alertas seguem as expectativas do papel DAMA (Capítulo 4, p. 86–87).</w:t>
      </w:r>
    </w:p>
    <w:p>
      <w:r>
        <w:rPr>
          <w:b/>
        </w:rPr>
        <w:t>Notas:</w:t>
      </w:r>
    </w:p>
    <w:p>
      <w:pPr>
        <w:pStyle w:val="ListBullet"/>
      </w:pPr>
      <w:r>
        <w:t>Usar a lógica de ação corretiva CMMI para otimizar o tratamento semântico de incidentes.</w:t>
      </w:r>
    </w:p>
    <w:p>
      <w:pPr>
        <w:spacing w:before="240"/>
      </w:pPr>
    </w:p>
    <w:p>
      <w:pPr>
        <w:spacing w:before="120" w:after="120"/>
      </w:pPr>
      <w:r>
        <w:rPr>
          <w:b/>
        </w:rPr>
        <w:t xml:space="preserve">Número do Procedimento: </w:t>
      </w:r>
      <w:r>
        <w:t>5</w:t>
      </w:r>
    </w:p>
    <w:p>
      <w:pPr>
        <w:spacing w:before="120" w:after="120"/>
      </w:pPr>
      <w:r>
        <w:rPr>
          <w:b/>
        </w:rPr>
        <w:t xml:space="preserve">Nome: </w:t>
      </w:r>
      <w:r>
        <w:t>Manter governança automatizada de modelagem</w:t>
      </w:r>
    </w:p>
    <w:p>
      <w:pPr>
        <w:spacing w:before="120" w:after="120"/>
      </w:pPr>
      <w:r>
        <w:rPr>
          <w:b/>
        </w:rPr>
        <w:t xml:space="preserve">Pré-requisito: </w:t>
      </w:r>
      <w:r>
        <w:t>Requer maturidade operacional</w:t>
      </w:r>
    </w:p>
    <w:p>
      <w:pPr>
        <w:spacing w:before="120" w:after="120"/>
      </w:pPr>
      <w:r>
        <w:rPr>
          <w:b/>
        </w:rPr>
        <w:t xml:space="preserve">Entregável: </w:t>
      </w:r>
      <w:r>
        <w:t>Modelagem de log operacional</w:t>
      </w:r>
    </w:p>
    <w:p>
      <w:r>
        <w:rPr>
          <w:b/>
        </w:rPr>
        <w:t>Recomendações:</w:t>
      </w:r>
    </w:p>
    <w:p>
      <w:pPr>
        <w:pStyle w:val="ListBullet"/>
      </w:pPr>
      <w:r>
        <w:t>Manter automação baseada nas diretrizes DAMA para continuidade da governança (Capítulo 3.6, p. 64).</w:t>
      </w:r>
    </w:p>
    <w:p>
      <w:pPr>
        <w:pStyle w:val="ListBullet"/>
      </w:pPr>
      <w:r>
        <w:t>Garantir alinhamento com expectativas de modelagem e metadados DAMA (Capítulos 9 e 10).</w:t>
      </w:r>
    </w:p>
    <w:p>
      <w:pPr>
        <w:pStyle w:val="ListBullet"/>
      </w:pPr>
      <w:r>
        <w:t>Valide responsabilidades do ciclo de vida usando checkpoints DAMA (Capítulo 4.3, p. 92).</w:t>
      </w:r>
    </w:p>
    <w:p>
      <w:pPr>
        <w:pStyle w:val="ListBullet"/>
      </w:pPr>
      <w:r>
        <w:t>Confirme que a documentação segue a estrutura de artefatos DAMA (Capítulo 3 Apêndice, p. 69).</w:t>
      </w:r>
    </w:p>
    <w:p>
      <w:r>
        <w:rPr>
          <w:b/>
        </w:rPr>
        <w:t>Notas:</w:t>
      </w:r>
    </w:p>
    <w:p>
      <w:pPr>
        <w:pStyle w:val="ListBullet"/>
      </w:pPr>
      <w:r>
        <w:t>Usar avaliações de capacidade operacional do DCAM para identificar áreas onde automação de modelagem pode ser expandida.</w:t>
      </w:r>
    </w:p>
    <w:p>
      <w:pPr>
        <w:spacing w:before="240"/>
      </w:pPr>
    </w:p>
    <w:p>
      <w:pPr>
        <w:spacing w:before="120" w:after="120"/>
      </w:pPr>
      <w:r>
        <w:rPr>
          <w:b/>
        </w:rPr>
        <w:t xml:space="preserve">Número do Procedimento: </w:t>
      </w:r>
      <w:r>
        <w:t>6</w:t>
      </w:r>
    </w:p>
    <w:p>
      <w:pPr>
        <w:spacing w:before="120" w:after="120"/>
      </w:pPr>
      <w:r>
        <w:rPr>
          <w:b/>
        </w:rPr>
        <w:t xml:space="preserve">Nome: </w:t>
      </w:r>
      <w:r>
        <w:t>Reforço da Medição e Supervisão Estrutural</w:t>
      </w:r>
    </w:p>
    <w:p>
      <w:pPr>
        <w:spacing w:before="120" w:after="120"/>
      </w:pPr>
      <w:r>
        <w:rPr>
          <w:b/>
        </w:rPr>
        <w:t xml:space="preserve">Pré-requisito: </w:t>
      </w:r>
      <w:r>
        <w:t>Requer mecanismo de governança institucionalizado</w:t>
      </w:r>
    </w:p>
    <w:p>
      <w:pPr>
        <w:spacing w:before="120" w:after="120"/>
      </w:pPr>
      <w:r>
        <w:rPr>
          <w:b/>
        </w:rPr>
        <w:t xml:space="preserve">Entregável: </w:t>
      </w:r>
      <w:r>
        <w:t>Ambiente de controle de governança gerenciado e mensurado</w:t>
      </w:r>
    </w:p>
    <w:p>
      <w:r>
        <w:rPr>
          <w:b/>
        </w:rPr>
        <w:t>Recomendações:</w:t>
      </w:r>
    </w:p>
    <w:p>
      <w:pPr>
        <w:pStyle w:val="ListBullet"/>
      </w:pPr>
      <w:r>
        <w:t>Definir métricas de desempenho mensuráveis alinhadas aos objetivos de governança.</w:t>
      </w:r>
    </w:p>
    <w:p>
      <w:pPr>
        <w:pStyle w:val="ListBullet"/>
      </w:pPr>
      <w:r>
        <w:t>Implementar mecanismos estruturados de monitoramento ou painéis de controle.</w:t>
      </w:r>
    </w:p>
    <w:p>
      <w:pPr>
        <w:pStyle w:val="ListBullet"/>
      </w:pPr>
      <w:r>
        <w:t>Estabelecer ciclos formais de validação incluindo revisões periódicas.</w:t>
      </w:r>
    </w:p>
    <w:p>
      <w:pPr>
        <w:pStyle w:val="ListBullet"/>
      </w:pPr>
      <w:r>
        <w:t>Manter documentação rastreável dos resultados de desempenho.</w:t>
      </w:r>
    </w:p>
    <w:p>
      <w:pPr>
        <w:pStyle w:val="ListBullet"/>
      </w:pPr>
      <w:r>
        <w:t>Definir caminhos de escalonamento para desvios não resolvidos.</w:t>
      </w:r>
    </w:p>
    <w:p>
      <w:pPr>
        <w:pStyle w:val="ListBullet"/>
      </w:pPr>
      <w:r>
        <w:t>Identificar Stakeholders e Papéis</w:t>
      </w:r>
    </w:p>
    <w:p>
      <w:pPr>
        <w:pStyle w:val="ListBullet"/>
      </w:pPr>
      <w:r>
        <w:t>Revisar Fluxos de Trabalho Existentes (DMD-04)</w:t>
      </w:r>
    </w:p>
    <w:p>
      <w:pPr>
        <w:pStyle w:val="ListBullet"/>
      </w:pPr>
      <w:r>
        <w:t>Definir KPI de Modelagem</w:t>
      </w:r>
    </w:p>
    <w:p>
      <w:pPr>
        <w:pStyle w:val="ListBullet"/>
      </w:pPr>
      <w:r>
        <w:t>Validar KPI contra Dimensões de Qualidade</w:t>
      </w:r>
    </w:p>
    <w:p>
      <w:pPr>
        <w:pStyle w:val="ListBullet"/>
      </w:pPr>
      <w:r>
        <w:t>Incorporar Indicadores de Capacidade __ACR10</w:t>
      </w:r>
    </w:p>
    <w:p>
      <w:pPr>
        <w:pStyle w:val="ListBullet"/>
      </w:pPr>
      <w:r>
        <w:t>Estabelecer Pontos de Verificação de Governança e Curadoria</w:t>
      </w:r>
    </w:p>
    <w:p>
      <w:pPr>
        <w:pStyle w:val="ListBullet"/>
      </w:pPr>
      <w:r>
        <w:t>Finalizar e Aprovar Conjunto de KPI de Modelagem</w:t>
      </w:r>
    </w:p>
    <w:p>
      <w:pPr>
        <w:pStyle w:val="ListBullet"/>
      </w:pPr>
      <w:r>
        <w:t>Implementar Mecanismos de Monitoramento e Relatórios</w:t>
      </w:r>
    </w:p>
    <w:p>
      <w:pPr>
        <w:pStyle w:val="ListBullet"/>
      </w:pPr>
      <w:r>
        <w:t>Comunicar e Treinar Stakeholders</w:t>
      </w:r>
    </w:p>
    <w:p>
      <w:pPr>
        <w:pStyle w:val="Heading4"/>
      </w:pPr>
      <w:r>
        <w:t>3.6.2.3 Componentes Estruturais de Governança</w:t>
      </w:r>
    </w:p>
    <w:p>
      <w:r>
        <w:rPr>
          <w:b/>
        </w:rPr>
        <w:t xml:space="preserve">Objetivo: </w:t>
      </w:r>
      <w:r>
        <w:t>Definir a estrutura de governança que apoia a ação.</w:t>
      </w:r>
    </w:p>
    <w:p>
      <w:r>
        <w:rPr>
          <w:b/>
        </w:rPr>
        <w:t xml:space="preserve">Conteúdo Esperado: </w:t>
      </w:r>
      <w:r>
        <w:t>Cobertura de ativos organizacionais e de dados, temas de governança, estrutura, autoridade de decisão, processos, interfaces e exclusões.</w:t>
      </w:r>
    </w:p>
    <w:p>
      <w:pPr>
        <w:pStyle w:val="Heading5"/>
      </w:pPr>
      <w:r>
        <w:t>Elementos de Amostra</w:t>
      </w:r>
    </w:p>
    <w:p>
      <w:pPr>
        <w:pStyle w:val="Heading5"/>
      </w:pPr>
      <w:r>
        <w:t>Cobertura Organizacional: Todos os departamentos envolvidos na gestão de dados.</w:t>
      </w:r>
    </w:p>
    <w:p>
      <w:pPr>
        <w:pStyle w:val="Heading5"/>
      </w:pPr>
      <w:r>
        <w:t>Cobertura de Ativos de Dados: Todos os modelos de dados e ativos relacionados.</w:t>
      </w:r>
    </w:p>
    <w:p>
      <w:pPr>
        <w:pStyle w:val="Heading5"/>
      </w:pPr>
      <w:r>
        <w:t>Temas de Governança: Qualidade de dados, conformidade e curadoria.</w:t>
      </w:r>
    </w:p>
    <w:p>
      <w:pPr>
        <w:pStyle w:val="Heading5"/>
      </w:pPr>
      <w:r>
        <w:t>Estrutura Organizacional de Governança: Conselho de Governança de Dados, Escritório de Governança de Dados, Proprietários de Dados, Curadores de Dados.</w:t>
      </w:r>
    </w:p>
    <w:p>
      <w:pPr>
        <w:pStyle w:val="Heading5"/>
      </w:pPr>
      <w:r>
        <w:t>Modelo de Autoridade de Decisão: Papéis e responsabilidades definidos para aprovação de KPI.</w:t>
      </w:r>
    </w:p>
    <w:p>
      <w:pPr>
        <w:pStyle w:val="Heading5"/>
      </w:pPr>
      <w:r>
        <w:t>Processos de Governança</w:t>
      </w:r>
    </w:p>
    <w:p>
      <w:pPr>
        <w:pStyle w:val="ListBullet"/>
      </w:pPr>
      <w:r>
        <w:t>Desenvolvimento e aprovação de KPI</w:t>
      </w:r>
    </w:p>
    <w:p>
      <w:pPr>
        <w:pStyle w:val="ListBullet"/>
      </w:pPr>
      <w:r>
        <w:t>Revisões regulares de desempenho de KPI</w:t>
      </w:r>
    </w:p>
    <w:p>
      <w:pPr>
        <w:pStyle w:val="ListBullet"/>
      </w:pPr>
      <w:r>
        <w:t>Protocolos de comunicação com stakeholders</w:t>
      </w:r>
    </w:p>
    <w:p>
      <w:pPr>
        <w:pStyle w:val="Heading5"/>
      </w:pPr>
      <w:r>
        <w:t>Interfaces com Outras Estruturas de Governança: Coordenação com a governança de Qualidade de Dados e Arquitetura de Dados.</w:t>
      </w:r>
    </w:p>
    <w:p>
      <w:pPr>
        <w:pStyle w:val="Heading5"/>
      </w:pPr>
      <w:r>
        <w:t>Exclusões Explícitas: Exclui atividades de governança de dados não relacionadas a DMD.</w:t>
      </w:r>
    </w:p>
    <w:p>
      <w:pPr>
        <w:pStyle w:val="Heading4"/>
      </w:pPr>
      <w:r>
        <w:t>3.6.2.4 Mecanismos de Controle e Supervisão</w:t>
      </w:r>
    </w:p>
    <w:p>
      <w:r>
        <w:rPr>
          <w:b/>
        </w:rPr>
        <w:t xml:space="preserve">Objetivo: </w:t>
      </w:r>
      <w:r>
        <w:t>Definir os mecanismos formais de controle e supervisão aplicáveis a esta ação.</w:t>
      </w:r>
    </w:p>
    <w:p>
      <w:pPr>
        <w:pStyle w:val="Heading5"/>
      </w:pPr>
      <w:r>
        <w:t>Estrutura de Monitoramento de Desempenho</w:t>
      </w:r>
    </w:p>
    <w:p>
      <w:pPr>
        <w:pStyle w:val="ListBullet"/>
      </w:pPr>
      <w:r>
        <w:t>Definir fórmula e método de cálculo de KPI</w:t>
      </w:r>
    </w:p>
    <w:p>
      <w:pPr>
        <w:pStyle w:val="ListBullet"/>
      </w:pPr>
      <w:r>
        <w:t>Definir valores-alvo e limites de tolerância</w:t>
      </w:r>
    </w:p>
    <w:p>
      <w:pPr>
        <w:pStyle w:val="ListBullet"/>
      </w:pPr>
      <w:r>
        <w:t>Definir gatilhos de alerta e violação</w:t>
      </w:r>
    </w:p>
    <w:p>
      <w:pPr>
        <w:pStyle w:val="ListBullet"/>
      </w:pPr>
      <w:r>
        <w:t>Definir critérios de ativação de ações corretivas</w:t>
      </w:r>
    </w:p>
    <w:p>
      <w:pPr>
        <w:pStyle w:val="Heading5"/>
      </w:pPr>
      <w:r>
        <w:t>Verificação de Conformidade e Auditoria</w:t>
      </w:r>
    </w:p>
    <w:p>
      <w:pPr>
        <w:pStyle w:val="ListBullet"/>
      </w:pPr>
      <w:r>
        <w:t>Definir metodologia de amostragem de auditoria</w:t>
      </w:r>
    </w:p>
    <w:p>
      <w:pPr>
        <w:pStyle w:val="ListBullet"/>
      </w:pPr>
      <w:r>
        <w:t>Definir frequência de validação</w:t>
      </w:r>
    </w:p>
    <w:p>
      <w:pPr>
        <w:pStyle w:val="ListBullet"/>
      </w:pPr>
      <w:r>
        <w:t>Definir requisitos de retenção de evidências</w:t>
      </w:r>
    </w:p>
    <w:p>
      <w:pPr>
        <w:pStyle w:val="ListBullet"/>
      </w:pPr>
      <w:r>
        <w:t>Alinhar com a supervisão da Função de Auditoria Interna</w:t>
      </w:r>
    </w:p>
    <w:p>
      <w:pPr>
        <w:pStyle w:val="Heading5"/>
      </w:pPr>
      <w:r>
        <w:t>Modelo de Escalonamento Controlado</w:t>
      </w:r>
    </w:p>
    <w:p>
      <w:pPr>
        <w:pStyle w:val="ListBullet"/>
      </w:pPr>
      <w:r>
        <w:t>Definir prazos formais de SLA para resolução de problemas</w:t>
      </w:r>
    </w:p>
    <w:p>
      <w:pPr>
        <w:pStyle w:val="ListBullet"/>
      </w:pPr>
      <w:r>
        <w:t>Definir relatórios obrigatórios ao Conselho de Governança de Dados</w:t>
      </w:r>
    </w:p>
    <w:p>
      <w:pPr>
        <w:pStyle w:val="ListBullet"/>
      </w:pPr>
      <w:r>
        <w:t>Definir mecanismo de rastreamento de responsabilidade</w:t>
      </w:r>
    </w:p>
    <w:p>
      <w:pPr>
        <w:pStyle w:val="Heading4"/>
      </w:pPr>
      <w:r>
        <w:t>3.6.2.5 Governança de Documentos</w:t>
      </w:r>
    </w:p>
    <w:p>
      <w:r>
        <w:rPr>
          <w:b/>
        </w:rPr>
        <w:t xml:space="preserve">Objetivo: </w:t>
      </w:r>
      <w:r>
        <w:t>Delimitar os processos de gestão e revisão do próprio documento.</w:t>
      </w:r>
    </w:p>
    <w:p>
      <w:r>
        <w:rPr>
          <w:b/>
        </w:rPr>
        <w:t xml:space="preserve">Conteúdo Esperado: </w:t>
      </w:r>
      <w:r>
        <w:t>Gestão do ciclo de vida, ciclo de revisão e propriedade do documento.</w:t>
      </w:r>
    </w:p>
    <w:p>
      <w:pPr>
        <w:pStyle w:val="Heading5"/>
      </w:pPr>
      <w:r>
        <w:t>Elementos de Amostra</w:t>
      </w:r>
    </w:p>
    <w:p>
      <w:pPr>
        <w:pStyle w:val="Heading5"/>
      </w:pPr>
      <w:r>
        <w:t>Gestão do Ciclo de Vida: O documento será revisado anualmente.</w:t>
      </w:r>
    </w:p>
    <w:p>
      <w:pPr>
        <w:pStyle w:val="Heading5"/>
      </w:pPr>
      <w:r>
        <w:t>Ciclo de Revisão: Revisões agendadas a cada seis meses.</w:t>
      </w:r>
    </w:p>
    <w:p>
      <w:pPr>
        <w:pStyle w:val="Heading5"/>
      </w:pPr>
      <w:r>
        <w:t>Propriedade do Documento: Escritório de Governança de Dados.</w:t>
      </w:r>
    </w:p>
    <w:p>
      <w:pPr>
        <w:pStyle w:val="Heading4"/>
      </w:pPr>
      <w:r>
        <w:t>3.6.2.6 Métricas de Desempenho</w:t>
      </w:r>
    </w:p>
    <w:p>
      <w:pPr>
        <w:pStyle w:val="ListBullet"/>
      </w:pPr>
      <w:r>
        <w:t>% de domínios com artefatos aprovados</w:t>
      </w:r>
    </w:p>
    <w:p>
      <w:pPr>
        <w:pStyle w:val="ListBullet"/>
      </w:pPr>
      <w:r>
        <w:t>% de revisões dentro de SLA</w:t>
      </w:r>
    </w:p>
    <w:p>
      <w:pPr>
        <w:pStyle w:val="ListBullet"/>
      </w:pPr>
      <w:r>
        <w:t>% de procedimentos com evidências válidas</w:t>
      </w:r>
    </w:p>
    <w:p>
      <w:pPr>
        <w:pStyle w:val="ListBullet"/>
      </w:pPr>
      <w:r>
        <w:t>Tempo médio de ciclo de atualização</w:t>
      </w:r>
    </w:p>
    <w:p>
      <w:pPr>
        <w:pStyle w:val="ListBullet"/>
      </w:pPr>
      <w:r>
        <w:t>Incidentes de não conformidade por ciclo</w:t>
      </w:r>
    </w:p>
    <w:p>
      <w:pPr>
        <w:pStyle w:val="Heading4"/>
      </w:pPr>
      <w:r>
        <w:t>3.6.2.7 Painel de Monitoramento</w:t>
      </w:r>
    </w:p>
    <w:p>
      <w:pPr>
        <w:pStyle w:val="ListBullet"/>
      </w:pPr>
      <w:r>
        <w:t>Status de conformidade do domínio</w:t>
      </w:r>
    </w:p>
    <w:p>
      <w:pPr>
        <w:pStyle w:val="ListBullet"/>
      </w:pPr>
      <w:r>
        <w:t>Alertas de revisão pendentes</w:t>
      </w:r>
    </w:p>
    <w:p>
      <w:pPr>
        <w:pStyle w:val="ListBullet"/>
      </w:pPr>
      <w:r>
        <w:t>Mapa de calor de governança</w:t>
      </w:r>
    </w:p>
    <w:p>
      <w:pPr>
        <w:pStyle w:val="ListBullet"/>
      </w:pPr>
      <w:r>
        <w:t>Resumo de desempenho de KPI</w:t>
      </w:r>
    </w:p>
    <w:p>
      <w:pPr>
        <w:pStyle w:val="Heading4"/>
      </w:pPr>
      <w:r>
        <w:t>3.6.2.8 Ciclo de Validação de Conformidade</w:t>
      </w:r>
    </w:p>
    <w:p>
      <w:pPr>
        <w:pStyle w:val="ListBullet"/>
      </w:pPr>
      <w:r>
        <w:t>Revisão semestral obrigatória</w:t>
      </w:r>
    </w:p>
    <w:p>
      <w:pPr>
        <w:pStyle w:val="ListBullet"/>
      </w:pPr>
      <w:r>
        <w:t>Auditoria interna anual</w:t>
      </w:r>
    </w:p>
    <w:p>
      <w:pPr>
        <w:pStyle w:val="ListBullet"/>
      </w:pPr>
      <w:r>
        <w:t>Validação entre domínios</w:t>
      </w:r>
    </w:p>
    <w:p>
      <w:pPr>
        <w:pStyle w:val="ListBullet"/>
      </w:pPr>
      <w:r>
        <w:t>Revalidação de RACI</w:t>
      </w:r>
    </w:p>
    <w:p>
      <w:pPr>
        <w:pStyle w:val="ListBullet"/>
      </w:pPr>
      <w:r>
        <w:t>Protocolo de escalonamento</w:t>
      </w:r>
    </w:p>
    <w:p>
      <w:pPr>
        <w:pStyle w:val="Heading2"/>
      </w:pPr>
      <w:r>
        <w:t>3.7 Elementos Comuns ao Documento Geral</w:t>
      </w:r>
    </w:p>
    <w:p>
      <w:pPr>
        <w:pStyle w:val="Heading3"/>
      </w:pPr>
      <w:r>
        <w:t>3.7.1 Governança do Documento</w:t>
      </w:r>
    </w:p>
    <w:p>
      <w:pPr>
        <w:spacing w:after="120"/>
      </w:pPr>
      <w:r>
        <w:t>Regras para manter este relatório controlado, auditável e sustentável ao longo do tempo.</w:t>
      </w:r>
    </w:p>
    <w:p>
      <w:pPr>
        <w:pStyle w:val="Heading3"/>
      </w:pPr>
      <w:r>
        <w:t>3.7.2 Evidências Mínimas Organizacionais</w:t>
      </w:r>
    </w:p>
    <w:p>
      <w:pPr>
        <w:spacing w:after="120"/>
      </w:pPr>
      <w:r>
        <w:t>Evidências organizacionais mínimas necessárias para sustentar adoção e verificação da governança.</w:t>
      </w:r>
    </w:p>
    <w:p>
      <w:pPr>
        <w:pStyle w:val="Heading3"/>
      </w:pPr>
      <w:r>
        <w:t>3.7.3 Critério de Evolução para Próximo Ciclo</w:t>
      </w:r>
    </w:p>
    <w:p>
      <w:pPr>
        <w:spacing w:after="120"/>
      </w:pPr>
      <w:r>
        <w:t>Critérios usados para validar prontidão para evoluir para o próximo ciclo e nível de maturidade.</w:t>
      </w:r>
    </w:p>
    <w:p>
      <w:r>
        <w:br w:type="page"/>
      </w:r>
    </w:p>
    <w:p>
      <w:pPr>
        <w:pStyle w:val="Heading1"/>
      </w:pPr>
      <w:r>
        <w:t>4. Referências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