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12:29:06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cenário misto, onde a organização apresenta um índice de maturidade considerável, mas com áreas que demandam atenção. A pontuação média dos domínios sugere uma estrutura relativamente equilibrada, embora uma disparidade significativa se destaque. As áreas de governança de dados e de análise estão abaixo da média, o que implica que há oportunidades para aprimorar processos e garantir que as práticas de governança sejam implementadas de forma consistente.</w:t>
      </w:r>
    </w:p>
    <w:p>
      <w:r>
        <w:t>As prioridades devem focar na melhoria das capacidades nas áreas mais imaturas, onde a exposição a riscos é maior. Para isso, é essencial estabelecer processos robustos, definir claramente os papéis e responsabilidades, criar padrões que orientem as práticas e implementar mecanismos de monitoramento para garantir a conformidade e a eficácia das iniciativas. A falta de consistência e escalabilidade nestes domínios pode comprometer a eficácia geral da governança de dados.</w:t>
      </w:r>
    </w:p>
    <w:p>
      <w:r>
        <w:t>Em resumo, o desenvolvimento de uma abordagem mais sistemática e integrada nas áreas prioritárias não só reduzirá a exposição a riscos, mas também fortalecerá a maturidade da governança de dados de forma geral.</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