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de Avaliação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Focus Session</w:t>
      </w:r>
      <w:r>
        <w:t xml:space="preserve"> </w:t>
      </w:r>
      <w:r>
        <w:t>(ID: 37297855-0218-401e-90c0-1b4023518df4)</w:t>
      </w:r>
    </w:p>
    <w:p>
      <w:r>
        <w:rPr>
          <w:b/>
        </w:rPr>
        <w:t xml:space="preserve">Usuário avaliado: </w:t>
      </w:r>
      <w:r>
        <w:t>Marry Guerreiro</w:t>
      </w:r>
      <w:r>
        <w:t xml:space="preserve"> (marry.guerreiro@gmail.com)</w:t>
      </w:r>
      <w:r>
        <w:t xml:space="preserve"> [ID: cec557c4ead99c469eb0522505ce7224a0cc556a25bed9219aa10388a4199efe]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2026-03-10 13:59:32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do gráfico de maturidade em governança de dados revela um perfil equilibrado, com as pontuações das áreas de Análise de Dados, Governança de Dados e Gestão de Metadados próximas entre si, o que indica uma abordagem coesa na implementação das práticas de governança. Contudo, a exposição ao risco é evidenciada pelas áreas de menor maturidade, o que sugere que, apesar do equilíbrio, existem oportunidades significativas para o aprimoramento.</w:t>
      </w:r>
    </w:p>
    <w:p>
      <w:r>
        <w:t>Os domínios que apresentam pontuações abaixo da média devem ser priorizados. Focar na melhoria da governança de dados e da gestão de metadados pode ser fundamental para elevar a maturidade geral. Recomenda-se reforçar os processos existentes, definir claramente os papéis e responsabilidades, estabelecer padrões consistentes e implementar um monitoramento contínuo das práticas de governança.</w:t>
      </w:r>
    </w:p>
    <w:p>
      <w:r>
        <w:t>Esse esforço não apenas mitigará os riscos associados às áreas menos maduras, mas também contribuirá para a construção de uma base sólida que permitirá escalar as iniciativas de governança de dados de forma eficaz.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spacing w:after="120"/>
      </w:pP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ListBullet"/>
      </w:pPr>
      <w:r>
        <w:t>DA · Data Architecture (grade 3 · Definido)</w:t>
      </w:r>
    </w:p>
    <w:p/>
    <w:p>
      <w:pPr>
        <w:pStyle w:val="Heading2"/>
      </w:pPr>
      <w:r>
        <w:t>2.2 Rupturas de Dependência Detectadas e Orientações de Remediação</w:t>
      </w:r>
    </w:p>
    <w:p/>
    <w:p>
      <w:pPr>
        <w:spacing w:after="120"/>
      </w:pPr>
      <w:r>
        <w:t>Não foram detectadas rupturas de dependência para os domínios avaliados com base na base de conhecimento disponível.</w:t>
        <w:br/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3.50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