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de Avaliação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Focus Session</w:t>
      </w:r>
      <w:r>
        <w:t xml:space="preserve"> </w:t>
      </w:r>
      <w:r>
        <w:t>(ID: 37297855-0218-401e-90c0-1b4023518df4)</w:t>
      </w:r>
    </w:p>
    <w:p>
      <w:r>
        <w:rPr>
          <w:b/>
        </w:rPr>
        <w:t xml:space="preserve">Usuário avaliado: </w:t>
      </w:r>
      <w:r>
        <w:t>Marry Guerreiro</w:t>
      </w:r>
      <w:r>
        <w:t xml:space="preserve"> (marry.guerreiro@gmail.com)</w:t>
      </w:r>
      <w:r>
        <w:t xml:space="preserve"> [ID: cec557c4ead99c469eb0522505ce7224a0cc556a25bed9219aa10388a4199efe]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2026-03-10 14:11:47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perfil equilibrado entre as diferentes dimensões avaliadas. As pontuações das áreas de Análise de Dados, Governança de Dados e Gestão de Metadados estão bastante próximas, indicando que não há disparidades significativas entre elas. Esse equilíbrio sugere que a organização possui um entendimento coeso das práticas de governança de dados em suas operações.</w:t>
      </w:r>
    </w:p>
    <w:p>
      <w:r>
        <w:t>Entretanto, a exposição ao risco é impulsionada pelas áreas de menor maturidade, que, apesar de não serem drasticamente diferentes, indicam oportunidades de melhoria. Para avançar, a organização deve focar na implementação de processos mais robustos, definição clara de papéis e responsabilidades, estabelecimento de padrões de governança e monitoramento contínuo das práticas atuais. Essas iniciativas não apenas elevarão a maturidade das áreas com desempenho abaixo da média, mas também garantirão uma estrutura de governança de dados mais sólida e eficaz.</w:t>
      </w:r>
    </w:p>
    <w:p>
      <w:r>
        <w:t>Assim, as prioridades estão nas áreas que podem se beneficiar de melhorias incrementais, visando consistência e escalabilidade na governança de dados.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spacing w:after="120"/>
      </w:pP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ListBullet"/>
      </w:pPr>
      <w:r>
        <w:t>DA · Data Architecture (grade 3 · Definido)</w:t>
      </w:r>
    </w:p>
    <w:p/>
    <w:p>
      <w:pPr>
        <w:pStyle w:val="Heading2"/>
      </w:pPr>
      <w:r>
        <w:t>2.2 Rupturas de Dependência Detectadas e Orientações de Remediação</w:t>
      </w:r>
    </w:p>
    <w:p/>
    <w:p>
      <w:pPr>
        <w:spacing w:after="120"/>
      </w:pPr>
      <w:r>
        <w:t>Não foram detectadas rupturas de dependência para os domínios avaliados com base na base de conhecimento disponível.</w:t>
        <w:br/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3.50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