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14:15:03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perfil equilibrado, com os domínios de Análise de Dados, Governança de Dados e Gestão de Metadados apresentando pontuações próximas. Essa uniformidade sugere que a organização está em um estágio razoável de desenvolvimento em todas as áreas relevantes, o que é positivo para a coesão e a eficácia das práticas de governança.</w:t>
      </w:r>
    </w:p>
    <w:p>
      <w:r>
        <w:t>Entretanto, a exposição identificada, impulsionada pelos domínios de menor maturidade, requer atenção. O foco deve ser em aprimorar os processos, as funções e os padrões dentro desses domínios, bem como em estabelecer um sistema de monitoramento eficaz. A implementação de práticas que promovam a consistência e a escalabilidade é crucial para mitigar riscos e elevar a maturidade geral.</w:t>
      </w:r>
    </w:p>
    <w:p>
      <w:r>
        <w:t>As prioridades são incrementais, visando o fortalecimento contínuo da governança de dados. Ao abordar as áreas de melhoria, a organização pode não apenas solidificar sua base existente, mas também se preparar para desafios futuros, garantindo uma gestão de dados robusta e eficiente.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