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14:17:09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equilibrado, com os domínios de Governança de Dados e Gestão de Dados apresentando pontuações semelhantes e ligeiramente superiores ao domínio de Análise de Dados. Essa proximidade indica uma ausência de disparidades significativas entre os domínios, sugerindo que a organização está em um estágio de maturidade relativamente consistente em suas práticas de governança.</w:t>
      </w:r>
    </w:p>
    <w:p>
      <w:r>
        <w:t>Entretanto, a presença de áreas com pontuações mais baixas indica que a exposição a riscos é impulsionada por esses domínios de menor maturidade. Para mitigar essa exposição, é essencial que a organização priorize o fortalecimento do domínio de Análise de Dados. Recomenda-se implementar processos claros, definir papéis e responsabilidades, estabelecer padrões de qualidade e monitorar continuamente a evolução das práticas. Essas ações não apenas ajudarão a aumentar a maturidade, mas também a criar uma base sólida para a governança de dados.</w:t>
      </w:r>
    </w:p>
    <w:p>
      <w:r>
        <w:t>Em suma, o foco deve ser direcionado para a consistência e o aprimoramento contínuo, garantindo que todos os domínios de governança estejam alinhados e em evolução.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