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14:24:24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cenário misto. O índice de maturidade geral indica uma posição intermediária, com um equilíbrio notável entre os domínios avaliados. Os resultados mostram que todos os domínios estão relativamente próximos, com apenas pequenas variações, o que caracteriza um perfil balanceado.</w:t>
      </w:r>
    </w:p>
    <w:p>
      <w:r>
        <w:t>Entretanto, a exposição a riscos é guiada pelos domínios de maturidade mais baixa, que podem impactar a robustez geral da governança de dados. Para avançar, é crucial focar nas áreas que estão abaixo da média, implementando melhorias através de processos mais estruturados, definição clara de papéis e responsabilidades, padrões de governança mais rigorosos e um monitoramento contínuo das práticas adotadas. Isso não só fortalecerá a maturidade, mas também garantirá uma governança de dados mais eficaz e resiliente.</w:t>
      </w:r>
    </w:p>
    <w:p>
      <w:r>
        <w:t>Em resumo, a organização se encontra em uma fase de crescimento equilibrado, mas deve direcionar esforços para aprimorar as áreas menos desenvolvidas para minimizar riscos e potencializar a governança de dados de maneira consistente.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