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2026-03-10 13:14:00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de governança de dados revela uma situação em que a organização apresenta um índice de maturidade moderado, refletindo uma jornada em desenvolvimento. Os domínios avaliados mostram uma pontuação geral que indica um perfil equilibrado, sem grandes disparidades significativas entre eles. Esse equilíbrio sugere uma abordagem coesa, embora a média possa esconder áreas que demandam atenção.</w:t>
      </w:r>
    </w:p>
    <w:p>
      <w:r>
        <w:t>Entretanto, é importante destacar que alguns domínios estão abaixo da média, o que implica que há prioridades a serem abordadas. Para aprimorar a maturidade, a organização deve concentrar esforços na definição clara de processos, no fortalecimento de papéis e responsabilidades, na criação de padrões robustos e na implementação de práticas de monitoramento eficazes. Essas ações podem contribuir para elevar a maturidade nos domínios mais fracos.</w:t>
      </w:r>
    </w:p>
    <w:p>
      <w:r>
        <w:t>Adicionalmente, a exposição a riscos é impulsionada pelos domínios de menor maturidade, o que implica a necessidade de vigilância contínua e melhorias direcionadas. Abordar esses aspectos pode mitigar riscos e fortalecer a governança de dados como um todo. Assim, a organização estará mais bem posicionada para responder às demandas de um ambiente em constante mudança.</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