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sz w:val="56"/>
        </w:rPr>
        <w:t>DOMMx Consolidated Project Report</w:t>
      </w:r>
    </w:p>
    <w:p>
      <w:r>
        <w:rPr>
          <w:sz w:val="32"/>
        </w:rPr>
        <w:t>Data Operating Model and Maturity</w:t>
      </w:r>
    </w:p>
    <w:p/>
    <w:p>
      <w:r>
        <w:rPr>
          <w:b/>
        </w:rPr>
        <w:t xml:space="preserve">Project: </w:t>
      </w:r>
      <w:r>
        <w:t>teste 1</w:t>
      </w:r>
      <w:r>
        <w:t xml:space="preserve"> </w:t>
      </w:r>
      <w:r>
        <w:t>(ID: 986bfe9c-b2fa-46b7-b644-077b19e3aa1e)</w:t>
      </w:r>
    </w:p>
    <w:p>
      <w:r>
        <w:rPr>
          <w:b/>
        </w:rPr>
        <w:t xml:space="preserve">Scope: </w:t>
      </w:r>
      <w:r>
        <w:t>All assessed users</w:t>
      </w:r>
    </w:p>
    <w:p>
      <w:r>
        <w:rPr>
          <w:b/>
        </w:rPr>
        <w:t xml:space="preserve">Users included: </w:t>
      </w:r>
      <w:r>
        <w:t>1</w:t>
      </w:r>
    </w:p>
    <w:p>
      <w:r>
        <w:rPr>
          <w:b/>
        </w:rPr>
        <w:t xml:space="preserve">Report language: </w:t>
      </w:r>
      <w:r>
        <w:t>Default</w:t>
      </w:r>
    </w:p>
    <w:p>
      <w:r>
        <w:rPr>
          <w:b/>
        </w:rPr>
        <w:t xml:space="preserve">Generated (UTC): </w:t>
      </w:r>
      <w:r>
        <w:t>2026-03-01 12:12:52</w:t>
      </w:r>
    </w:p>
    <w:p>
      <w:r>
        <w:br w:type="page"/>
      </w:r>
    </w:p>
    <w:p>
      <w:pPr>
        <w:pStyle w:val="Heading1"/>
      </w:pPr>
      <w:r>
        <w:t>Table of Contents</w:t>
      </w:r>
    </w:p>
    <w:p>
      <w:r>
        <w:fldChar w:fldCharType="begin"/>
        <w:instrText xml:space="preserve">TOC \o "1-4" \h \z \u</w:instrText>
        <w:fldChar w:fldCharType="separate"/>
        <w:fldChar w:fldCharType="end"/>
      </w:r>
    </w:p>
    <w:p/>
    <w:p>
      <w:r>
        <w:br w:type="page"/>
      </w:r>
    </w:p>
    <w:p>
      <w:pPr>
        <w:pStyle w:val="Heading1"/>
      </w:pPr>
      <w:r>
        <w:t>1. Assessment Results</w:t>
      </w:r>
    </w:p>
    <w:p>
      <w:pPr>
        <w:spacing w:after="120"/>
      </w:pPr>
      <w:r>
        <w:t>The blueprint and prescriptive guidance presented in this report strictly follow the evaluated domain structure and the maturity values obtained during the current assessment cycle. They do not necessarily represent the entirety of the DOMMx operating model nor the full scope of any referenced data governance framework.</w:t>
      </w:r>
    </w:p>
    <w:p>
      <w:pPr>
        <w:spacing w:after="120"/>
      </w:pPr>
      <w:r>
        <w:t>This section provides maturity results by domain, including per-question scores, computed domain averages, and the final domain maturity grade. The domain maturity grade is computed as floor(AVG).</w:t>
      </w:r>
    </w:p>
    <w:p/>
    <w:p>
      <w:pPr>
        <w:pStyle w:val="Heading2"/>
      </w:pPr>
      <w:r>
        <w:t>1.1 Domain Summary</w:t>
      </w:r>
    </w:p>
    <w:tbl>
      <w:tblPr>
        <w:tblW w:type="auto" w:w="0"/>
        <w:tblLook w:firstColumn="1" w:firstRow="1" w:lastColumn="0" w:lastRow="0" w:noHBand="0" w:noVBand="1" w:val="04A0"/>
      </w:tblPr>
      <w:tblGrid>
        <w:gridCol w:w="1728"/>
        <w:gridCol w:w="1728"/>
        <w:gridCol w:w="1728"/>
        <w:gridCol w:w="1728"/>
        <w:gridCol w:w="1728"/>
      </w:tblGrid>
      <w:tr>
        <w:tc>
          <w:tcPr>
            <w:tcW w:type="dxa" w:w="1728"/>
          </w:tcPr>
          <w:p>
            <w:r>
              <w:t>Domain</w:t>
            </w:r>
          </w:p>
        </w:tc>
        <w:tc>
          <w:tcPr>
            <w:tcW w:type="dxa" w:w="1728"/>
          </w:tcPr>
          <w:p>
            <w:r>
              <w:t>Domain Name</w:t>
            </w:r>
          </w:p>
        </w:tc>
        <w:tc>
          <w:tcPr>
            <w:tcW w:type="dxa" w:w="1728"/>
          </w:tcPr>
          <w:p>
            <w:r>
              <w:t>AVG</w:t>
            </w:r>
          </w:p>
        </w:tc>
        <w:tc>
          <w:tcPr>
            <w:tcW w:type="dxa" w:w="1728"/>
          </w:tcPr>
          <w:p>
            <w:r>
              <w:t>Final Grade (floor)</w:t>
            </w:r>
          </w:p>
        </w:tc>
        <w:tc>
          <w:tcPr>
            <w:tcW w:type="dxa" w:w="1728"/>
          </w:tcPr>
          <w:p>
            <w:r>
              <w:t>Maturity Level</w:t>
            </w:r>
          </w:p>
        </w:tc>
      </w:tr>
      <w:tr>
        <w:tc>
          <w:tcPr>
            <w:tcW w:type="dxa" w:w="1728"/>
          </w:tcPr>
          <w:p>
            <w:r>
              <w:t>DG</w:t>
            </w:r>
          </w:p>
        </w:tc>
        <w:tc>
          <w:tcPr>
            <w:tcW w:type="dxa" w:w="1728"/>
          </w:tcPr>
          <w:p>
            <w:r>
              <w:t>Data Governance</w:t>
            </w:r>
          </w:p>
        </w:tc>
        <w:tc>
          <w:tcPr>
            <w:tcW w:type="dxa" w:w="1728"/>
          </w:tcPr>
          <w:p>
            <w:r>
              <w:t>3.50</w:t>
            </w:r>
          </w:p>
        </w:tc>
        <w:tc>
          <w:tcPr>
            <w:tcW w:type="dxa" w:w="1728"/>
          </w:tcPr>
          <w:p>
            <w:r>
              <w:t>3</w:t>
            </w:r>
          </w:p>
        </w:tc>
        <w:tc>
          <w:tcPr>
            <w:tcW w:type="dxa" w:w="1728"/>
          </w:tcPr>
          <w:p>
            <w:r>
              <w:t>Defined</w:t>
            </w:r>
          </w:p>
        </w:tc>
      </w:tr>
      <w:tr>
        <w:tc>
          <w:tcPr>
            <w:tcW w:type="dxa" w:w="1728"/>
          </w:tcPr>
          <w:p>
            <w:r>
              <w:t>DA</w:t>
            </w:r>
          </w:p>
        </w:tc>
        <w:tc>
          <w:tcPr>
            <w:tcW w:type="dxa" w:w="1728"/>
          </w:tcPr>
          <w:p>
            <w:r>
              <w:t>Data Architecture</w:t>
            </w:r>
          </w:p>
        </w:tc>
        <w:tc>
          <w:tcPr>
            <w:tcW w:type="dxa" w:w="1728"/>
          </w:tcPr>
          <w:p>
            <w:r>
              <w:t>3.00</w:t>
            </w:r>
          </w:p>
        </w:tc>
        <w:tc>
          <w:tcPr>
            <w:tcW w:type="dxa" w:w="1728"/>
          </w:tcPr>
          <w:p>
            <w:r>
              <w:t>3</w:t>
            </w:r>
          </w:p>
        </w:tc>
        <w:tc>
          <w:tcPr>
            <w:tcW w:type="dxa" w:w="1728"/>
          </w:tcPr>
          <w:p>
            <w:r>
              <w:t>Defined</w:t>
            </w:r>
          </w:p>
        </w:tc>
      </w:tr>
    </w:tbl>
    <w:p/>
    <w:p>
      <w:pPr>
        <w:pStyle w:val="Heading2"/>
      </w:pPr>
      <w:r>
        <w:t>1.2 DG · Data Governance</w:t>
      </w:r>
    </w:p>
    <w:p>
      <w:pPr>
        <w:spacing w:after="120"/>
      </w:pPr>
      <w:r>
        <w:t>Domain maturity grade is computed as floor(AVG). Final grade: 3 (Defined).</w:t>
      </w:r>
    </w:p>
    <w:tbl>
      <w:tblPr>
        <w:tblW w:type="auto" w:w="0"/>
        <w:tblLook w:firstColumn="1" w:firstRow="1" w:lastColumn="0" w:lastRow="0" w:noHBand="0" w:noVBand="1" w:val="04A0"/>
      </w:tblPr>
      <w:tblGrid>
        <w:gridCol w:w="2160"/>
        <w:gridCol w:w="2160"/>
        <w:gridCol w:w="2160"/>
        <w:gridCol w:w="2160"/>
      </w:tblGrid>
      <w:tr>
        <w:tc>
          <w:tcPr>
            <w:tcW w:type="dxa" w:w="2160"/>
          </w:tcPr>
          <w:p>
            <w:r>
              <w:t>Question</w:t>
            </w:r>
          </w:p>
        </w:tc>
        <w:tc>
          <w:tcPr>
            <w:tcW w:type="dxa" w:w="2160"/>
          </w:tcPr>
          <w:p>
            <w:r>
              <w:t>Score</w:t>
            </w:r>
          </w:p>
        </w:tc>
        <w:tc>
          <w:tcPr>
            <w:tcW w:type="dxa" w:w="2160"/>
          </w:tcPr>
          <w:p>
            <w:r>
              <w:t>Nearest Level</w:t>
            </w:r>
          </w:p>
        </w:tc>
        <w:tc>
          <w:tcPr>
            <w:tcW w:type="dxa" w:w="2160"/>
          </w:tcPr>
          <w:p>
            <w:r>
              <w:t>Notes</w:t>
            </w:r>
          </w:p>
        </w:tc>
      </w:tr>
      <w:tr>
        <w:tc>
          <w:tcPr>
            <w:tcW w:type="dxa" w:w="2160"/>
          </w:tcPr>
          <w:p>
            <w:r>
              <w:t>Q1</w:t>
            </w:r>
          </w:p>
        </w:tc>
        <w:tc>
          <w:tcPr>
            <w:tcW w:type="dxa" w:w="2160"/>
          </w:tcPr>
          <w:p>
            <w:r>
              <w:t>3.00</w:t>
            </w:r>
          </w:p>
        </w:tc>
        <w:tc>
          <w:tcPr>
            <w:tcW w:type="dxa" w:w="2160"/>
          </w:tcPr>
          <w:p>
            <w:r>
              <w:t>Defined</w:t>
            </w:r>
          </w:p>
        </w:tc>
        <w:tc>
          <w:tcPr>
            <w:tcW w:type="dxa" w:w="2160"/>
          </w:tcPr>
          <w:p>
            <w:r/>
          </w:p>
        </w:tc>
      </w:tr>
      <w:tr>
        <w:tc>
          <w:tcPr>
            <w:tcW w:type="dxa" w:w="2160"/>
          </w:tcPr>
          <w:p>
            <w:r>
              <w:t>Q2</w:t>
            </w:r>
          </w:p>
        </w:tc>
        <w:tc>
          <w:tcPr>
            <w:tcW w:type="dxa" w:w="2160"/>
          </w:tcPr>
          <w:p>
            <w:r>
              <w:t>4.00</w:t>
            </w:r>
          </w:p>
        </w:tc>
        <w:tc>
          <w:tcPr>
            <w:tcW w:type="dxa" w:w="2160"/>
          </w:tcPr>
          <w:p>
            <w:r>
              <w:t>Managed</w:t>
            </w:r>
          </w:p>
        </w:tc>
        <w:tc>
          <w:tcPr>
            <w:tcW w:type="dxa" w:w="2160"/>
          </w:tcPr>
          <w:p>
            <w:r/>
          </w:p>
        </w:tc>
      </w:tr>
    </w:tbl>
    <w:p>
      <w:pPr>
        <w:spacing w:after="120"/>
      </w:pPr>
      <w:r>
        <w:t>Scoring rule: AVG = mean(question scores). Final domain maturity = floor(AVG).</w:t>
      </w:r>
    </w:p>
    <w:p/>
    <w:p>
      <w:pPr>
        <w:pStyle w:val="Heading2"/>
      </w:pPr>
      <w:r>
        <w:t>1.2 DA · Data Architecture</w:t>
      </w:r>
    </w:p>
    <w:p>
      <w:pPr>
        <w:spacing w:after="120"/>
      </w:pPr>
      <w:r>
        <w:t>Domain maturity grade is computed as floor(AVG). Final grade: 3 (Defined).</w:t>
      </w:r>
    </w:p>
    <w:tbl>
      <w:tblPr>
        <w:tblW w:type="auto" w:w="0"/>
        <w:tblLook w:firstColumn="1" w:firstRow="1" w:lastColumn="0" w:lastRow="0" w:noHBand="0" w:noVBand="1" w:val="04A0"/>
      </w:tblPr>
      <w:tblGrid>
        <w:gridCol w:w="2160"/>
        <w:gridCol w:w="2160"/>
        <w:gridCol w:w="2160"/>
        <w:gridCol w:w="2160"/>
      </w:tblGrid>
      <w:tr>
        <w:tc>
          <w:tcPr>
            <w:tcW w:type="dxa" w:w="2160"/>
          </w:tcPr>
          <w:p>
            <w:r>
              <w:t>Question</w:t>
            </w:r>
          </w:p>
        </w:tc>
        <w:tc>
          <w:tcPr>
            <w:tcW w:type="dxa" w:w="2160"/>
          </w:tcPr>
          <w:p>
            <w:r>
              <w:t>Score</w:t>
            </w:r>
          </w:p>
        </w:tc>
        <w:tc>
          <w:tcPr>
            <w:tcW w:type="dxa" w:w="2160"/>
          </w:tcPr>
          <w:p>
            <w:r>
              <w:t>Nearest Level</w:t>
            </w:r>
          </w:p>
        </w:tc>
        <w:tc>
          <w:tcPr>
            <w:tcW w:type="dxa" w:w="2160"/>
          </w:tcPr>
          <w:p>
            <w:r>
              <w:t>Notes</w:t>
            </w:r>
          </w:p>
        </w:tc>
      </w:tr>
      <w:tr>
        <w:tc>
          <w:tcPr>
            <w:tcW w:type="dxa" w:w="2160"/>
          </w:tcPr>
          <w:p>
            <w:r>
              <w:t>Q1</w:t>
            </w:r>
          </w:p>
        </w:tc>
        <w:tc>
          <w:tcPr>
            <w:tcW w:type="dxa" w:w="2160"/>
          </w:tcPr>
          <w:p>
            <w:r>
              <w:t>5.00</w:t>
            </w:r>
          </w:p>
        </w:tc>
        <w:tc>
          <w:tcPr>
            <w:tcW w:type="dxa" w:w="2160"/>
          </w:tcPr>
          <w:p>
            <w:r>
              <w:t>Optimized</w:t>
            </w:r>
          </w:p>
        </w:tc>
        <w:tc>
          <w:tcPr>
            <w:tcW w:type="dxa" w:w="2160"/>
          </w:tcPr>
          <w:p>
            <w:r/>
          </w:p>
        </w:tc>
      </w:tr>
      <w:tr>
        <w:tc>
          <w:tcPr>
            <w:tcW w:type="dxa" w:w="2160"/>
          </w:tcPr>
          <w:p>
            <w:r>
              <w:t>Q2</w:t>
            </w:r>
          </w:p>
        </w:tc>
        <w:tc>
          <w:tcPr>
            <w:tcW w:type="dxa" w:w="2160"/>
          </w:tcPr>
          <w:p>
            <w:r>
              <w:t>1.00</w:t>
            </w:r>
          </w:p>
        </w:tc>
        <w:tc>
          <w:tcPr>
            <w:tcW w:type="dxa" w:w="2160"/>
          </w:tcPr>
          <w:p>
            <w:r>
              <w:t>Ad-hoc</w:t>
            </w:r>
          </w:p>
        </w:tc>
        <w:tc>
          <w:tcPr>
            <w:tcW w:type="dxa" w:w="2160"/>
          </w:tcPr>
          <w:p>
            <w:r/>
          </w:p>
        </w:tc>
      </w:tr>
    </w:tbl>
    <w:p>
      <w:pPr>
        <w:spacing w:after="120"/>
      </w:pPr>
      <w:r>
        <w:t>Scoring rule: AVG = mean(question scores). Final domain maturity = floor(AVG).</w:t>
      </w:r>
    </w:p>
    <w:p>
      <w:pPr>
        <w:pStyle w:val="Heading1"/>
      </w:pPr>
      <w:r>
        <w:t>2. Structural Dependencies and Inconsistencies</w:t>
      </w:r>
    </w:p>
    <w:p>
      <w:pPr>
        <w:spacing w:after="120"/>
      </w:pPr>
      <w:r>
        <w:t>This section documents structural dependencies between domains and highlights detected dependency breaks or maturity incoherences. Declared dependencies are derived from the project flow definition, and remediation rationale is sourced from the dependency inconsistency knowledge base.</w:t>
      </w:r>
    </w:p>
    <w:p>
      <w:pPr>
        <w:pStyle w:val="Heading2"/>
      </w:pPr>
      <w:r>
        <w:t>2.1 Declared Dependencies (project flow)</w:t>
      </w:r>
    </w:p>
    <w:p>
      <w:pPr>
        <w:pStyle w:val="Heading3"/>
      </w:pPr>
      <w:r>
        <w:t>DG · Data Governance</w:t>
      </w:r>
    </w:p>
    <w:p>
      <w:pPr>
        <w:spacing w:after="120"/>
      </w:pPr>
      <w:r>
        <w:t>No dependencies declared.</w:t>
      </w:r>
    </w:p>
    <w:p>
      <w:pPr>
        <w:pStyle w:val="Heading3"/>
      </w:pPr>
      <w:r>
        <w:t>DA · Data Architecture</w:t>
      </w:r>
    </w:p>
    <w:p>
      <w:pPr>
        <w:spacing w:after="120"/>
      </w:pPr>
      <w:r>
        <w:t>Declared dependencies:</w:t>
      </w:r>
    </w:p>
    <w:p>
      <w:pPr>
        <w:pStyle w:val="ListBullet"/>
      </w:pPr>
      <w:r>
        <w:t>- DG · Data Governance (grade 3 · Defined)</w:t>
      </w:r>
    </w:p>
    <w:p>
      <w:pPr>
        <w:pStyle w:val="Heading2"/>
      </w:pPr>
      <w:r>
        <w:t>2.2 Detected Dependency Breaks and Remediation Guidance</w:t>
      </w:r>
    </w:p>
    <w:p>
      <w:pPr>
        <w:spacing w:after="120"/>
      </w:pPr>
      <w:r>
        <w:t>No dependency inconsistency records were found for the evaluated domains.</w:t>
      </w:r>
    </w:p>
    <w:p>
      <w:r>
        <w:br w:type="page"/>
      </w:r>
    </w:p>
    <w:p>
      <w:pPr>
        <w:pStyle w:val="Heading1"/>
      </w:pPr>
      <w:r>
        <w:t>3. Domain Blueprint and Prescriptive Procedures</w:t>
      </w:r>
    </w:p>
    <w:p>
      <w:pPr>
        <w:spacing w:after="120"/>
      </w:pPr>
      <w:r>
        <w:t>This section provides the prescriptive blueprint to progress from the current maturity grade. For each domain, a triggered Action Code is identified and its governance procedure pack (DEMO) is provided in a structured format.</w:t>
      </w:r>
    </w:p>
    <w:p>
      <w:pPr>
        <w:spacing w:after="120"/>
      </w:pPr>
      <w:r>
        <w:t>The blueprint and prescriptive procedures below strictly reflect the evaluated domains and their respective maturity grades obtained in this assessment cycle. They do not necessarily represent the full scope of the DOMMx operating model nor any comprehensive external governance framework.</w:t>
      </w:r>
    </w:p>
    <w:p>
      <w:pPr>
        <w:pStyle w:val="Heading2"/>
      </w:pPr>
      <w:r>
        <w:t>3.1 DG · Data Governance</w:t>
      </w:r>
    </w:p>
    <w:p>
      <w:pPr>
        <w:spacing w:after="120"/>
      </w:pPr>
      <w:r>
        <w:t>Current maturity grade: 3 (Defined).</w:t>
      </w:r>
    </w:p>
    <w:p>
      <w:pPr>
        <w:spacing w:after="120"/>
      </w:pPr>
      <w:r>
        <w:t>Triggered Action Code: DG-04</w:t>
      </w:r>
    </w:p>
    <w:p>
      <w:pPr>
        <w:pStyle w:val="Heading3"/>
      </w:pPr>
      <w:r>
        <w:t>3.1 Prescriptive Procedure Pack</w:t>
      </w:r>
    </w:p>
    <w:p>
      <w:pPr>
        <w:pStyle w:val="Heading3"/>
      </w:pPr>
      <w:r>
        <w:t>3.1.1 Document Control</w:t>
      </w:r>
    </w:p>
    <w:p>
      <w:r>
        <w:rPr>
          <w:b/>
        </w:rPr>
        <w:t xml:space="preserve">Purpose: </w:t>
      </w:r>
      <w:r>
        <w:t>To establish the formal identification and versioning of the document.</w:t>
      </w:r>
    </w:p>
    <w:p>
      <w:r>
        <w:rPr>
          <w:b/>
        </w:rPr>
        <w:t xml:space="preserve">Expected Content: </w:t>
      </w:r>
      <w:r>
        <w:t>Title, version number, status, approval authority, and revision history.</w:t>
      </w:r>
    </w:p>
    <w:p>
      <w:pPr>
        <w:spacing w:after="120"/>
      </w:pPr>
      <w:r>
        <w:t>Sample Elements:</w:t>
      </w:r>
    </w:p>
    <w:p>
      <w:pPr>
        <w:spacing w:after="120"/>
      </w:pPr>
      <w:r>
        <w:t>1.1 Document Title: Governance Standards Implementation Guide</w:t>
      </w:r>
    </w:p>
    <w:p>
      <w:pPr>
        <w:spacing w:after="120"/>
      </w:pPr>
      <w:r>
        <w:t>1.2 Version and Status: Version 1.0 - Draft</w:t>
      </w:r>
    </w:p>
    <w:p>
      <w:pPr>
        <w:spacing w:after="120"/>
      </w:pPr>
      <w:r>
        <w:t>1.3 Approval Authority: Data Governance Council</w:t>
      </w:r>
    </w:p>
    <w:p>
      <w:pPr>
        <w:spacing w:after="120"/>
      </w:pPr>
      <w:r>
        <w:t>1.4 Revision History: Date, description of changes, author.</w:t>
      </w:r>
    </w:p>
    <w:p>
      <w:pPr>
        <w:pStyle w:val="Heading3"/>
      </w:pPr>
      <w:r>
        <w:t>3.1.2 Executive Summary</w:t>
      </w:r>
    </w:p>
    <w:p>
      <w:r>
        <w:rPr>
          <w:b/>
        </w:rPr>
        <w:t xml:space="preserve">Purpose: </w:t>
      </w:r>
      <w:r>
        <w:t>To provide a high-level overview of the document's intent and significance.</w:t>
      </w:r>
    </w:p>
    <w:p>
      <w:r>
        <w:rPr>
          <w:b/>
        </w:rPr>
        <w:t xml:space="preserve">Expected Content: </w:t>
      </w:r>
      <w:r>
        <w:t>Summary of the governance standards implementation process and its importance to the organization.</w:t>
      </w:r>
    </w:p>
    <w:p>
      <w:r>
        <w:rPr>
          <w:b/>
        </w:rPr>
        <w:t xml:space="preserve">Sample Elements: </w:t>
      </w:r>
      <w:r>
        <w:t>Overview of embedding governance into routines, alignment with DMBOK2 and DCAM.</w:t>
      </w:r>
    </w:p>
    <w:p>
      <w:pPr>
        <w:pStyle w:val="Heading3"/>
      </w:pPr>
      <w:r>
        <w:t>3.1.3 Domain and Context Framing</w:t>
      </w:r>
    </w:p>
    <w:p>
      <w:r>
        <w:rPr>
          <w:b/>
        </w:rPr>
        <w:t xml:space="preserve">Purpose: </w:t>
      </w:r>
      <w:r>
        <w:t>To define the specific domain and contextualize the governance action.</w:t>
      </w:r>
    </w:p>
    <w:p>
      <w:r>
        <w:rPr>
          <w:b/>
        </w:rPr>
        <w:t xml:space="preserve">Expected Content: </w:t>
      </w:r>
      <w:r>
        <w:t>Definition of the domain, organizational context, and maturity positioning based on the maturity score.</w:t>
      </w:r>
    </w:p>
    <w:p>
      <w:pPr>
        <w:spacing w:after="120"/>
      </w:pPr>
      <w:r>
        <w:t>Sample Elements:</w:t>
      </w:r>
    </w:p>
    <w:p>
      <w:pPr>
        <w:spacing w:after="120"/>
      </w:pPr>
      <w:r>
        <w:t>3.1 Domain Definition: Data Governance</w:t>
      </w:r>
    </w:p>
    <w:p>
      <w:pPr>
        <w:spacing w:after="120"/>
      </w:pPr>
      <w:r>
        <w:t>3.2 Organizational Context: Overview of the organization’s data management landscape.</w:t>
      </w:r>
    </w:p>
    <w:p>
      <w:pPr>
        <w:spacing w:after="120"/>
      </w:pPr>
      <w:r>
        <w:t>3.3 Maturity Positioning: Score 3 - Managed.</w:t>
      </w:r>
    </w:p>
    <w:p>
      <w:pPr>
        <w:pStyle w:val="Heading3"/>
      </w:pPr>
      <w:r>
        <w:t>3.1.4 Action Definition</w:t>
      </w:r>
    </w:p>
    <w:p>
      <w:r>
        <w:rPr>
          <w:b/>
        </w:rPr>
        <w:t xml:space="preserve">Purpose: </w:t>
      </w:r>
      <w:r>
        <w:t>To clearly define the action being taken within the governance framework.</w:t>
      </w:r>
    </w:p>
    <w:p>
      <w:r>
        <w:rPr>
          <w:b/>
        </w:rPr>
        <w:t xml:space="preserve">Expected Content: </w:t>
      </w:r>
      <w:r>
        <w:t>Action code, title, objective, and scope boundaries.</w:t>
      </w:r>
    </w:p>
    <w:p>
      <w:pPr>
        <w:spacing w:after="120"/>
      </w:pPr>
      <w:r>
        <w:t>Sample Elements:</w:t>
      </w:r>
    </w:p>
    <w:p>
      <w:pPr>
        <w:spacing w:after="120"/>
      </w:pPr>
      <w:r>
        <w:t>4.1 Action Code and Title: DG-04 - Embed governance into organizational and domain routines</w:t>
      </w:r>
    </w:p>
    <w:p>
      <w:pPr>
        <w:spacing w:after="120"/>
      </w:pPr>
      <w:r>
        <w:t>4.2 Action Objective: To systematically integrate governance standards into daily operations.</w:t>
      </w:r>
    </w:p>
    <w:p>
      <w:pPr>
        <w:spacing w:after="120"/>
      </w:pPr>
      <w:r>
        <w:t>4.3 Action Scope Boundaries: Applicable to all data domains within the organization.</w:t>
      </w:r>
    </w:p>
    <w:p>
      <w:pPr>
        <w:pStyle w:val="Heading3"/>
      </w:pPr>
      <w:r>
        <w:t>3.1.5 Procedure Definition</w:t>
      </w:r>
    </w:p>
    <w:p>
      <w:r>
        <w:rPr>
          <w:b/>
        </w:rPr>
        <w:t xml:space="preserve">Purpose: </w:t>
      </w:r>
      <w:r>
        <w:t>To outline the procedural steps necessary for implementing governance standards.</w:t>
      </w:r>
    </w:p>
    <w:p>
      <w:r>
        <w:rPr>
          <w:b/>
        </w:rPr>
        <w:t xml:space="preserve">Expected Content: </w:t>
      </w:r>
      <w:r>
        <w:t>Objective, prerequisites, deliverables, and a detailed step-by-step execution structure.</w:t>
      </w:r>
    </w:p>
    <w:p>
      <w:pPr>
        <w:spacing w:after="120"/>
      </w:pPr>
      <w:r>
        <w:t>Sample Elements:</w:t>
      </w:r>
    </w:p>
    <w:p>
      <w:pPr>
        <w:spacing w:after="120"/>
      </w:pPr>
      <w:r>
        <w:t>5.1 Procedure Objective: To implement governance standards across domains.</w:t>
      </w:r>
    </w:p>
    <w:p>
      <w:pPr>
        <w:spacing w:after="120"/>
      </w:pPr>
      <w:r>
        <w:t>5.2 Prerequisites: Requires approved governance standards.</w:t>
      </w:r>
    </w:p>
    <w:p>
      <w:pPr>
        <w:spacing w:after="120"/>
      </w:pPr>
      <w:r>
        <w:t>5.3 Deliverables: Governance standards implementation log.</w:t>
      </w:r>
    </w:p>
    <w:p>
      <w:pPr>
        <w:spacing w:after="120"/>
      </w:pPr>
      <w:r>
        <w:t>5.4 Step-by-Step Execution Structure:</w:t>
      </w:r>
    </w:p>
    <w:p>
      <w:pPr>
        <w:pStyle w:val="ListBullet2"/>
      </w:pPr>
      <w:r>
        <w:t>Establish Governance Framework</w:t>
      </w:r>
    </w:p>
    <w:p>
      <w:pPr>
        <w:pStyle w:val="ListBullet2"/>
      </w:pPr>
      <w:r>
        <w:t>Communicate Standards</w:t>
      </w:r>
    </w:p>
    <w:p>
      <w:pPr>
        <w:pStyle w:val="ListBullet2"/>
      </w:pPr>
      <w:r>
        <w:t>Integrate Standards into Processes</w:t>
      </w:r>
    </w:p>
    <w:p>
      <w:pPr>
        <w:pStyle w:val="ListBullet2"/>
      </w:pPr>
      <w:r>
        <w:t>Assign Stewardship Roles</w:t>
      </w:r>
    </w:p>
    <w:p>
      <w:pPr>
        <w:pStyle w:val="ListBullet2"/>
      </w:pPr>
      <w:r>
        <w:t>Implement Checkpoints for Compliance</w:t>
      </w:r>
    </w:p>
    <w:p>
      <w:pPr>
        <w:pStyle w:val="ListBullet2"/>
      </w:pPr>
      <w:r>
        <w:t>Monitor and Report on Implementation</w:t>
      </w:r>
    </w:p>
    <w:p>
      <w:pPr>
        <w:pStyle w:val="ListBullet2"/>
      </w:pPr>
      <w:r>
        <w:t>Review and Adjust Standards</w:t>
      </w:r>
    </w:p>
    <w:p>
      <w:pPr>
        <w:pStyle w:val="ListBullet2"/>
      </w:pPr>
      <w:r>
        <w:t>Document Implementation Log.</w:t>
      </w:r>
    </w:p>
    <w:p>
      <w:pPr>
        <w:pStyle w:val="Heading3"/>
      </w:pPr>
      <w:r>
        <w:t>3.1.6 Governance Structural Components</w:t>
      </w:r>
    </w:p>
    <w:p>
      <w:r>
        <w:rPr>
          <w:b/>
        </w:rPr>
        <w:t xml:space="preserve">Purpose: </w:t>
      </w:r>
      <w:r>
        <w:t>To delineate the structural elements that support governance implementation.</w:t>
      </w:r>
    </w:p>
    <w:p>
      <w:r>
        <w:rPr>
          <w:b/>
        </w:rPr>
        <w:t xml:space="preserve">Expected Content: </w:t>
      </w:r>
      <w:r>
        <w:t>Coverage areas, themes, organizational structure, decision authority, governance processes, interfaces, and exclusions.</w:t>
      </w:r>
    </w:p>
    <w:p>
      <w:pPr>
        <w:spacing w:after="120"/>
      </w:pPr>
      <w:r>
        <w:t>Sample Elements:</w:t>
      </w:r>
    </w:p>
    <w:p>
      <w:pPr>
        <w:spacing w:after="120"/>
      </w:pPr>
      <w:r>
        <w:t>6.1 Organizational Coverage: All data domains within the organization.</w:t>
      </w:r>
    </w:p>
    <w:p>
      <w:pPr>
        <w:spacing w:after="120"/>
      </w:pPr>
      <w:r>
        <w:t>6.2 Data Asset Coverage: All critical data assets identified in the governance framework.</w:t>
      </w:r>
    </w:p>
    <w:p>
      <w:pPr>
        <w:spacing w:after="120"/>
      </w:pPr>
      <w:r>
        <w:t>6.3 Governance Themes: Data quality, data security, data privacy.</w:t>
      </w:r>
    </w:p>
    <w:p>
      <w:pPr>
        <w:spacing w:after="120"/>
      </w:pPr>
      <w:r>
        <w:t>6.4 Governance Organizational Structure: Data Governance Council, Data Governance Office, Data Owners, Data Stewards.</w:t>
      </w:r>
    </w:p>
    <w:p>
      <w:pPr>
        <w:spacing w:after="120"/>
      </w:pPr>
      <w:r>
        <w:t>6.5 Decision Authority Model: Defined roles and responsibilities for decision-making.</w:t>
      </w:r>
    </w:p>
    <w:p>
      <w:pPr>
        <w:spacing w:after="120"/>
      </w:pPr>
      <w:r>
        <w:t>6.6 Governance Processes:</w:t>
      </w:r>
    </w:p>
    <w:p>
      <w:pPr>
        <w:pStyle w:val="ListBullet2"/>
      </w:pPr>
      <w:r>
        <w:t>Establish governance framework</w:t>
      </w:r>
    </w:p>
    <w:p>
      <w:pPr>
        <w:pStyle w:val="ListBullet2"/>
      </w:pPr>
      <w:r>
        <w:t>Communicate standards</w:t>
      </w:r>
    </w:p>
    <w:p>
      <w:pPr>
        <w:pStyle w:val="ListBullet2"/>
      </w:pPr>
      <w:r>
        <w:t>Integrate standards into processes</w:t>
      </w:r>
    </w:p>
    <w:p>
      <w:pPr>
        <w:pStyle w:val="ListBullet2"/>
      </w:pPr>
      <w:r>
        <w:t>Assign stewardship roles</w:t>
      </w:r>
    </w:p>
    <w:p>
      <w:pPr>
        <w:pStyle w:val="ListBullet2"/>
      </w:pPr>
      <w:r>
        <w:t>Implement checkpoints for compliance</w:t>
      </w:r>
    </w:p>
    <w:p>
      <w:pPr>
        <w:pStyle w:val="ListBullet2"/>
      </w:pPr>
      <w:r>
        <w:t>Monitor and report on implementation</w:t>
      </w:r>
    </w:p>
    <w:p>
      <w:pPr>
        <w:pStyle w:val="ListBullet2"/>
      </w:pPr>
      <w:r>
        <w:t>Review and adjust standards</w:t>
      </w:r>
    </w:p>
    <w:p>
      <w:pPr>
        <w:pStyle w:val="ListBullet2"/>
      </w:pPr>
      <w:r>
        <w:t>Document implementation log.</w:t>
      </w:r>
    </w:p>
    <w:p>
      <w:pPr>
        <w:spacing w:after="120"/>
      </w:pPr>
      <w:r>
        <w:t>6.7 Interfaces with Other Governance Structures: Interaction with other governance frameworks within the organization.</w:t>
      </w:r>
    </w:p>
    <w:p>
      <w:pPr>
        <w:spacing w:after="120"/>
      </w:pPr>
      <w:r>
        <w:t>6.8 Explicit Exclusions: Areas not covered by this governance framework.</w:t>
      </w:r>
    </w:p>
    <w:p>
      <w:pPr>
        <w:pStyle w:val="Heading3"/>
      </w:pPr>
      <w:r>
        <w:t>3.1.7 Control and Oversight Mechanisms</w:t>
      </w:r>
    </w:p>
    <w:p>
      <w:r>
        <w:rPr>
          <w:b/>
        </w:rPr>
        <w:t xml:space="preserve">Purpose: </w:t>
      </w:r>
      <w:r>
        <w:t>To define the formal control and oversight mechanisms applicable to this action.</w:t>
      </w:r>
    </w:p>
    <w:p>
      <w:pPr>
        <w:spacing w:after="120"/>
      </w:pPr>
      <w:r>
        <w:t>7.1 Monitoring and KPIs</w:t>
      </w:r>
    </w:p>
    <w:p>
      <w:pPr>
        <w:pStyle w:val="ListBullet"/>
      </w:pPr>
      <w:r>
        <w:t>Define measurable indicators aligned with the action objective</w:t>
      </w:r>
    </w:p>
    <w:p>
      <w:pPr>
        <w:pStyle w:val="ListBullet"/>
      </w:pPr>
      <w:r>
        <w:t>Define measurement frequency and reporting cadence</w:t>
      </w:r>
    </w:p>
    <w:p>
      <w:pPr>
        <w:pStyle w:val="ListBullet"/>
      </w:pPr>
      <w:r>
        <w:t>Identify data source for each KPI</w:t>
      </w:r>
    </w:p>
    <w:p>
      <w:pPr>
        <w:pStyle w:val="ListBullet2"/>
      </w:pPr>
      <w:r>
        <w:t>Assign accountable monitoring role</w:t>
      </w:r>
    </w:p>
    <w:p>
      <w:pPr>
        <w:spacing w:after="120"/>
      </w:pPr>
      <w:r>
        <w:t>7.2 Compliance and Internal Control Alignment</w:t>
      </w:r>
    </w:p>
    <w:p>
      <w:pPr>
        <w:pStyle w:val="ListBullet"/>
      </w:pPr>
      <w:r>
        <w:t>Reference structured internal control mechanisms</w:t>
      </w:r>
    </w:p>
    <w:p>
      <w:pPr>
        <w:pStyle w:val="ListBullet"/>
      </w:pPr>
      <w:r>
        <w:t>Define validation checkpoints</w:t>
      </w:r>
    </w:p>
    <w:p>
      <w:pPr>
        <w:spacing w:after="120"/>
      </w:pPr>
      <w:r>
        <w:t>7.3 Operational Escalation Model</w:t>
      </w:r>
    </w:p>
    <w:p>
      <w:pPr>
        <w:pStyle w:val="ListBullet"/>
      </w:pPr>
      <w:r>
        <w:t>Define escalation thresholds</w:t>
      </w:r>
    </w:p>
    <w:p>
      <w:pPr>
        <w:pStyle w:val="ListBullet2"/>
      </w:pPr>
      <w:r>
        <w:t>Assign responsible escalation authority</w:t>
      </w:r>
    </w:p>
    <w:p>
      <w:pPr>
        <w:pStyle w:val="ListBullet"/>
      </w:pPr>
      <w:r>
        <w:t>Define documented resolution workflow</w:t>
      </w:r>
    </w:p>
    <w:p>
      <w:pPr>
        <w:pStyle w:val="Heading3"/>
      </w:pPr>
      <w:r>
        <w:t>3.1.8 Document Governance</w:t>
      </w:r>
    </w:p>
    <w:p>
      <w:r>
        <w:rPr>
          <w:b/>
        </w:rPr>
        <w:t xml:space="preserve">Purpose: </w:t>
      </w:r>
      <w:r>
        <w:t>To outline the management and review processes for the document itself.</w:t>
      </w:r>
    </w:p>
    <w:p>
      <w:r>
        <w:rPr>
          <w:b/>
        </w:rPr>
        <w:t xml:space="preserve">Expected Content: </w:t>
      </w:r>
      <w:r>
        <w:t>Lifecycle management, review cycle, and ownership.</w:t>
      </w:r>
    </w:p>
    <w:p>
      <w:pPr>
        <w:spacing w:after="120"/>
      </w:pPr>
      <w:r>
        <w:t>Sample Elements:</w:t>
      </w:r>
    </w:p>
    <w:p>
      <w:pPr>
        <w:spacing w:after="120"/>
      </w:pPr>
      <w:r>
        <w:t>8.1 Lifecycle Management: Procedures for document updates and revisions.</w:t>
      </w:r>
    </w:p>
    <w:p>
      <w:pPr>
        <w:spacing w:after="120"/>
      </w:pPr>
      <w:r>
        <w:t>8.2 Review Cycle: Frequency of document reviews (e.g., annually).</w:t>
      </w:r>
    </w:p>
    <w:p>
      <w:pPr>
        <w:spacing w:after="120"/>
      </w:pPr>
      <w:r>
        <w:t>8.3 Ownership of the Document: Designation of the Data Governance Office as the document owner.</w:t>
      </w:r>
    </w:p>
    <w:p>
      <w:pPr>
        <w:pStyle w:val="Heading3"/>
      </w:pPr>
      <w:r>
        <w:t>3.1.9 Appendices</w:t>
      </w:r>
    </w:p>
    <w:p>
      <w:r>
        <w:rPr>
          <w:b/>
        </w:rPr>
        <w:t xml:space="preserve">Purpose: </w:t>
      </w:r>
      <w:r>
        <w:t>To provide supplementary materials that support the main document.</w:t>
      </w:r>
    </w:p>
    <w:p>
      <w:r>
        <w:rPr>
          <w:b/>
        </w:rPr>
        <w:t xml:space="preserve">Expected Content: </w:t>
      </w:r>
      <w:r>
        <w:t>Templates, reference standards, and supporting artifacts.</w:t>
      </w:r>
    </w:p>
    <w:p>
      <w:pPr>
        <w:spacing w:after="120"/>
      </w:pPr>
      <w:r>
        <w:t>Sample Elements:</w:t>
      </w:r>
    </w:p>
    <w:p>
      <w:pPr>
        <w:spacing w:after="120"/>
      </w:pPr>
      <w:r>
        <w:t>9.1 Templates: Governance standards implementation log template.</w:t>
      </w:r>
    </w:p>
    <w:p>
      <w:pPr>
        <w:spacing w:after="120"/>
      </w:pPr>
      <w:r>
        <w:t>9.2 Reference Standards: Links to DAMA-DMBOK and DCAM resources.</w:t>
      </w:r>
    </w:p>
    <w:p>
      <w:pPr>
        <w:spacing w:after="120"/>
      </w:pPr>
      <w:r>
        <w:t>9.3 Supporting Artefacts: Examples of governance policies and procedures.</w:t>
      </w:r>
    </w:p>
    <w:p>
      <w:pPr>
        <w:pStyle w:val="Heading3"/>
      </w:pPr>
      <w:r>
        <w:t>3.1.10 Evidence Required</w:t>
      </w:r>
    </w:p>
    <w:p>
      <w:pPr>
        <w:pStyle w:val="ListBullet"/>
      </w:pPr>
      <w:r>
        <w:t>Approved document with version control</w:t>
      </w:r>
    </w:p>
    <w:p>
      <w:pPr>
        <w:pStyle w:val="ListBullet"/>
      </w:pPr>
      <w:r>
        <w:t>Formal approval record</w:t>
      </w:r>
    </w:p>
    <w:p>
      <w:pPr>
        <w:pStyle w:val="ListBullet"/>
      </w:pPr>
      <w:r>
        <w:t>RACI matrix attached</w:t>
      </w:r>
    </w:p>
    <w:p>
      <w:pPr>
        <w:pStyle w:val="ListBullet"/>
      </w:pPr>
      <w:r>
        <w:t>Repository registration ID</w:t>
      </w:r>
    </w:p>
    <w:p>
      <w:pPr>
        <w:pStyle w:val="ListBullet"/>
      </w:pPr>
      <w:r>
        <w:t>Stakeholder validation evidence</w:t>
      </w:r>
    </w:p>
    <w:p>
      <w:pPr>
        <w:pStyle w:val="Heading3"/>
      </w:pPr>
      <w:r>
        <w:t>3.1.11 Acceptance Criteria</w:t>
      </w:r>
    </w:p>
    <w:p>
      <w:pPr>
        <w:pStyle w:val="ListBullet2"/>
      </w:pPr>
      <w:r>
        <w:t>Document formally approved</w:t>
      </w:r>
    </w:p>
    <w:p>
      <w:pPr>
        <w:pStyle w:val="ListBullet"/>
      </w:pPr>
      <w:r>
        <w:t>Scope clearly defined</w:t>
      </w:r>
    </w:p>
    <w:p>
      <w:pPr>
        <w:pStyle w:val="ListBullet"/>
      </w:pPr>
      <w:r>
        <w:t>Roles validated</w:t>
      </w:r>
    </w:p>
    <w:p>
      <w:pPr>
        <w:pStyle w:val="ListBullet"/>
      </w:pPr>
      <w:r>
        <w:t>Deliverables stored in official repository</w:t>
      </w:r>
    </w:p>
    <w:p>
      <w:pPr>
        <w:pStyle w:val="ListBullet"/>
      </w:pPr>
      <w:r>
        <w:t>Communication recorded</w:t>
      </w:r>
    </w:p>
    <w:p>
      <w:pPr>
        <w:pStyle w:val="Heading3"/>
      </w:pPr>
      <w:r>
        <w:t>3.1.12 Control Owner</w:t>
      </w:r>
    </w:p>
    <w:p>
      <w:pPr>
        <w:pStyle w:val="ListBullet"/>
      </w:pPr>
      <w:r>
        <w:t>Primary Owner: Domain Owner or Data Governance Office</w:t>
      </w:r>
    </w:p>
    <w:p>
      <w:pPr>
        <w:pStyle w:val="ListBullet"/>
      </w:pPr>
      <w:r>
        <w:t>Oversight Authority: Data Governance Council</w:t>
      </w:r>
    </w:p>
    <w:p>
      <w:pPr>
        <w:pStyle w:val="ListBullet"/>
      </w:pPr>
      <w:r>
        <w:t>Escalation Path: Chief Data Officer</w:t>
      </w:r>
    </w:p>
    <w:p>
      <w:pPr>
        <w:pStyle w:val="Heading2"/>
      </w:pPr>
      <w:r>
        <w:t>3.2 DA · Data Architecture</w:t>
      </w:r>
    </w:p>
    <w:p>
      <w:pPr>
        <w:spacing w:after="120"/>
      </w:pPr>
      <w:r>
        <w:t>Current maturity grade: 3 (Defined).</w:t>
      </w:r>
    </w:p>
    <w:p>
      <w:pPr>
        <w:spacing w:after="120"/>
      </w:pPr>
      <w:r>
        <w:t>Triggered Action Code: DA-04</w:t>
      </w:r>
    </w:p>
    <w:p>
      <w:pPr>
        <w:pStyle w:val="Heading3"/>
      </w:pPr>
      <w:r>
        <w:t>3.2 Prescriptive Procedure Pack</w:t>
      </w:r>
    </w:p>
    <w:p>
      <w:pPr>
        <w:pStyle w:val="Heading3"/>
      </w:pPr>
      <w:r>
        <w:t>3.2.1 Document Control</w:t>
      </w:r>
    </w:p>
    <w:p>
      <w:r>
        <w:rPr>
          <w:b/>
        </w:rPr>
        <w:t xml:space="preserve">Purpose: </w:t>
      </w:r>
      <w:r>
        <w:t>To establish the foundational metadata for the document, ensuring traceability and accountability.</w:t>
      </w:r>
    </w:p>
    <w:p>
      <w:r>
        <w:rPr>
          <w:b/>
        </w:rPr>
        <w:t xml:space="preserve">Expected content: </w:t>
      </w:r>
      <w:r>
        <w:t>Document title, versioning details, approval authority, and revision history.</w:t>
      </w:r>
    </w:p>
    <w:p>
      <w:pPr>
        <w:spacing w:after="120"/>
      </w:pPr>
      <w:r>
        <w:t>Sample elements:</w:t>
      </w:r>
    </w:p>
    <w:p>
      <w:pPr>
        <w:spacing w:after="120"/>
      </w:pPr>
      <w:r>
        <w:t>1.1 Document Title: Data Governance Procedure for Embedding Architecture Governance into Workflows</w:t>
      </w:r>
    </w:p>
    <w:p>
      <w:pPr>
        <w:spacing w:after="120"/>
      </w:pPr>
      <w:r>
        <w:t>1.2 Version and Status: Version 1.0, Approved</w:t>
      </w:r>
    </w:p>
    <w:p>
      <w:pPr>
        <w:spacing w:after="120"/>
      </w:pPr>
      <w:r>
        <w:t>1.3 Approval Authority: Data Governance Council</w:t>
      </w:r>
    </w:p>
    <w:p>
      <w:pPr>
        <w:spacing w:after="120"/>
      </w:pPr>
      <w:r>
        <w:t>1.4 Revision History: Initial release on [Date], reviewed on [Date]</w:t>
      </w:r>
    </w:p>
    <w:p>
      <w:pPr>
        <w:pStyle w:val="Heading3"/>
      </w:pPr>
      <w:r>
        <w:t>3.2.2 Executive Summary</w:t>
      </w:r>
    </w:p>
    <w:p>
      <w:r>
        <w:rPr>
          <w:b/>
        </w:rPr>
        <w:t xml:space="preserve">Purpose: </w:t>
      </w:r>
      <w:r>
        <w:t>To provide a high-level overview of the document's intent and significance within the organization.</w:t>
      </w:r>
    </w:p>
    <w:p>
      <w:r>
        <w:rPr>
          <w:b/>
        </w:rPr>
        <w:t xml:space="preserve">Expected content: </w:t>
      </w:r>
      <w:r>
        <w:t>Summary of the action, its importance, and expected outcomes.</w:t>
      </w:r>
    </w:p>
    <w:p>
      <w:r>
        <w:rPr>
          <w:b/>
        </w:rPr>
        <w:t xml:space="preserve">Sample elements: </w:t>
      </w:r>
      <w:r>
        <w:t>This document outlines the procedure for embedding architecture governance into workflows, ensuring compliance with data governance principles and enhancing data lifecycle management.</w:t>
      </w:r>
    </w:p>
    <w:p>
      <w:pPr>
        <w:pStyle w:val="Heading3"/>
      </w:pPr>
      <w:r>
        <w:t>3.2.3 Domain and Context Framing</w:t>
      </w:r>
    </w:p>
    <w:p>
      <w:r>
        <w:rPr>
          <w:b/>
        </w:rPr>
        <w:t xml:space="preserve">Purpose: </w:t>
      </w:r>
      <w:r>
        <w:t>To define the specific domain and contextualize the action within the organizational framework.</w:t>
      </w:r>
    </w:p>
    <w:p>
      <w:r>
        <w:rPr>
          <w:b/>
        </w:rPr>
        <w:t xml:space="preserve">Expected content: </w:t>
      </w:r>
      <w:r>
        <w:t>Definition of the domain, organizational context, and maturity positioning based on the maturity score.</w:t>
      </w:r>
    </w:p>
    <w:p>
      <w:pPr>
        <w:spacing w:after="120"/>
      </w:pPr>
      <w:r>
        <w:t>Sample elements:</w:t>
      </w:r>
    </w:p>
    <w:p>
      <w:pPr>
        <w:spacing w:after="120"/>
      </w:pPr>
      <w:r>
        <w:t>3.1 Domain Definition: Data Architecture (DA)</w:t>
      </w:r>
    </w:p>
    <w:p>
      <w:pPr>
        <w:spacing w:after="120"/>
      </w:pPr>
      <w:r>
        <w:t>3.2 Organizational Context: This procedure applies to all data workflows within the organization.</w:t>
      </w:r>
    </w:p>
    <w:p>
      <w:pPr>
        <w:spacing w:after="120"/>
      </w:pPr>
      <w:r>
        <w:t>3.3 Maturity Positioning: Score 3 - Managed</w:t>
      </w:r>
    </w:p>
    <w:p>
      <w:pPr>
        <w:pStyle w:val="Heading3"/>
      </w:pPr>
      <w:r>
        <w:t>3.2.4 Action Definition</w:t>
      </w:r>
    </w:p>
    <w:p>
      <w:r>
        <w:rPr>
          <w:b/>
        </w:rPr>
        <w:t xml:space="preserve">Purpose: </w:t>
      </w:r>
      <w:r>
        <w:t>To clearly articulate the action being defined, including its objectives and scope.</w:t>
      </w:r>
    </w:p>
    <w:p>
      <w:r>
        <w:rPr>
          <w:b/>
        </w:rPr>
        <w:t xml:space="preserve">Expected content: </w:t>
      </w:r>
      <w:r>
        <w:t>Action code, title, objectives, and scope boundaries.</w:t>
      </w:r>
    </w:p>
    <w:p>
      <w:pPr>
        <w:spacing w:after="120"/>
      </w:pPr>
      <w:r>
        <w:t>Sample elements:</w:t>
      </w:r>
    </w:p>
    <w:p>
      <w:pPr>
        <w:spacing w:after="120"/>
      </w:pPr>
      <w:r>
        <w:t>4.1 Action Code and Title: DA-04 - Embed architecture governance into workflows</w:t>
      </w:r>
    </w:p>
    <w:p>
      <w:pPr>
        <w:spacing w:after="120"/>
      </w:pPr>
      <w:r>
        <w:t>4.2 Action Objective: To integrate architecture governance checkpoints into existing workflows.</w:t>
      </w:r>
    </w:p>
    <w:p>
      <w:pPr>
        <w:spacing w:after="120"/>
      </w:pPr>
      <w:r>
        <w:t>4.3 Action Scope Boundaries: This action applies to all workflows involving data creation, transformation, and publication.</w:t>
      </w:r>
    </w:p>
    <w:p>
      <w:pPr>
        <w:pStyle w:val="Heading3"/>
      </w:pPr>
      <w:r>
        <w:t>3.2.5 Procedure Definition</w:t>
      </w:r>
    </w:p>
    <w:p>
      <w:r>
        <w:rPr>
          <w:b/>
        </w:rPr>
        <w:t xml:space="preserve">Purpose: </w:t>
      </w:r>
      <w:r>
        <w:t>To detail the step-by-step execution structure for the action, including prerequisites and deliverables.</w:t>
      </w:r>
    </w:p>
    <w:p>
      <w:r>
        <w:rPr>
          <w:b/>
        </w:rPr>
        <w:t xml:space="preserve">Expected content: </w:t>
      </w:r>
      <w:r>
        <w:t>Procedure objective, prerequisites, deliverables, and a structured execution framework.</w:t>
      </w:r>
    </w:p>
    <w:p>
      <w:pPr>
        <w:spacing w:after="120"/>
      </w:pPr>
      <w:r>
        <w:t>Sample elements:</w:t>
      </w:r>
    </w:p>
    <w:p>
      <w:pPr>
        <w:spacing w:after="120"/>
      </w:pPr>
      <w:r>
        <w:t>5.1 Procedure Objective: To ensure architecture governance is embedded in workflows through defined checkpoints.</w:t>
      </w:r>
    </w:p>
    <w:p>
      <w:pPr>
        <w:spacing w:after="120"/>
      </w:pPr>
      <w:r>
        <w:t>5.2 Prerequisites: Requires DA-03 roles and standards.</w:t>
      </w:r>
    </w:p>
    <w:p>
      <w:pPr>
        <w:spacing w:after="120"/>
      </w:pPr>
      <w:r>
        <w:t>5.3 Deliverables: Updated workflow templates.</w:t>
      </w:r>
    </w:p>
    <w:p>
      <w:pPr>
        <w:spacing w:after="120"/>
      </w:pPr>
      <w:r>
        <w:t>5.4 Step-by-Step Execution Structure:</w:t>
      </w:r>
    </w:p>
    <w:p>
      <w:pPr>
        <w:pStyle w:val="ListBullet"/>
      </w:pPr>
      <w:r>
        <w:t>Map Existing Workflows</w:t>
      </w:r>
    </w:p>
    <w:p>
      <w:pPr>
        <w:pStyle w:val="ListBullet"/>
      </w:pPr>
      <w:r>
        <w:t>Define Checkpoints</w:t>
      </w:r>
    </w:p>
    <w:p>
      <w:pPr>
        <w:pStyle w:val="ListBullet"/>
      </w:pPr>
      <w:r>
        <w:t>Create Standardized Templates</w:t>
      </w:r>
    </w:p>
    <w:p>
      <w:pPr>
        <w:pStyle w:val="ListBullet2"/>
      </w:pPr>
      <w:r>
        <w:t>Assign Roles and Responsibilities</w:t>
      </w:r>
    </w:p>
    <w:p>
      <w:pPr>
        <w:pStyle w:val="ListBullet"/>
      </w:pPr>
      <w:r>
        <w:t>Validate Alignment with DCAM</w:t>
      </w:r>
    </w:p>
    <w:p>
      <w:pPr>
        <w:pStyle w:val="ListBullet"/>
      </w:pPr>
      <w:r>
        <w:t>Stakeholder Review and Approval</w:t>
      </w:r>
    </w:p>
    <w:p>
      <w:pPr>
        <w:pStyle w:val="ListBullet2"/>
      </w:pPr>
      <w:r>
        <w:t>Communicate and Train</w:t>
      </w:r>
    </w:p>
    <w:p>
      <w:pPr>
        <w:pStyle w:val="ListBullet2"/>
      </w:pPr>
      <w:r>
        <w:t>Monitor and Iterate</w:t>
      </w:r>
    </w:p>
    <w:p>
      <w:pPr>
        <w:pStyle w:val="Heading3"/>
      </w:pPr>
      <w:r>
        <w:t>3.2.6 Governance Structural Components</w:t>
      </w:r>
    </w:p>
    <w:p>
      <w:r>
        <w:rPr>
          <w:b/>
        </w:rPr>
        <w:t xml:space="preserve">Purpose: </w:t>
      </w:r>
      <w:r>
        <w:t>To outline the governance framework that supports the action, including roles, responsibilities, and processes.</w:t>
      </w:r>
    </w:p>
    <w:p>
      <w:r>
        <w:rPr>
          <w:b/>
        </w:rPr>
        <w:t xml:space="preserve">Expected content: </w:t>
      </w:r>
      <w:r>
        <w:t>Coverage of organizational and data assets, governance themes, structure, decision authority, processes, interfaces, and exclusions.</w:t>
      </w:r>
    </w:p>
    <w:p>
      <w:pPr>
        <w:spacing w:after="120"/>
      </w:pPr>
      <w:r>
        <w:t>Sample elements:</w:t>
      </w:r>
    </w:p>
    <w:p>
      <w:pPr>
        <w:spacing w:after="120"/>
      </w:pPr>
      <w:r>
        <w:t>6.1 Organizational Coverage: All departments involved in data management.</w:t>
      </w:r>
    </w:p>
    <w:p>
      <w:pPr>
        <w:spacing w:after="120"/>
      </w:pPr>
      <w:r>
        <w:t>6.2 Data Asset Coverage: All data assets subject to governance.</w:t>
      </w:r>
    </w:p>
    <w:p>
      <w:pPr>
        <w:spacing w:after="120"/>
      </w:pPr>
      <w:r>
        <w:t>6.3 Governance Themes: Data quality, compliance, and architecture alignment.</w:t>
      </w:r>
    </w:p>
    <w:p>
      <w:pPr>
        <w:spacing w:after="120"/>
      </w:pPr>
      <w:r>
        <w:t>6.4 Governance Organizational Structure: Data Governance Council, Data Governance Office, Data Owners, Data Stewards, Data Custodians.</w:t>
      </w:r>
    </w:p>
    <w:p>
      <w:pPr>
        <w:spacing w:after="120"/>
      </w:pPr>
      <w:r>
        <w:t>6.5 Decision Authority Model: Defined roles for decision-making within the governance framework.</w:t>
      </w:r>
    </w:p>
    <w:p>
      <w:pPr>
        <w:spacing w:after="120"/>
      </w:pPr>
      <w:r>
        <w:t>6.6 Governance Processes:</w:t>
      </w:r>
    </w:p>
    <w:p>
      <w:pPr>
        <w:pStyle w:val="ListBullet2"/>
      </w:pPr>
      <w:r>
        <w:t>Establish checkpoints in workflows</w:t>
      </w:r>
    </w:p>
    <w:p>
      <w:pPr>
        <w:pStyle w:val="ListBullet2"/>
      </w:pPr>
      <w:r>
        <w:t>Monitor compliance with governance standards</w:t>
      </w:r>
    </w:p>
    <w:p>
      <w:pPr>
        <w:pStyle w:val="ListBullet2"/>
      </w:pPr>
      <w:r>
        <w:t>Review and approve workflow templates</w:t>
      </w:r>
    </w:p>
    <w:p>
      <w:pPr>
        <w:pStyle w:val="ListBullet"/>
      </w:pPr>
      <w:r>
        <w:t>Conduct training sessions</w:t>
      </w:r>
    </w:p>
    <w:p>
      <w:pPr>
        <w:pStyle w:val="ListBullet"/>
      </w:pPr>
      <w:r>
        <w:t>Perform regular audits</w:t>
      </w:r>
    </w:p>
    <w:p>
      <w:pPr>
        <w:spacing w:after="120"/>
      </w:pPr>
      <w:r>
        <w:t>6.7 Interfaces with Other Governance Structures: Coordination with other governance domains as necessary.</w:t>
      </w:r>
    </w:p>
    <w:p>
      <w:pPr>
        <w:spacing w:after="120"/>
      </w:pPr>
      <w:r>
        <w:t>6.8 Explicit Exclusions: Any workflows not involving data governance principles.</w:t>
      </w:r>
    </w:p>
    <w:p>
      <w:pPr>
        <w:pStyle w:val="Heading3"/>
      </w:pPr>
      <w:r>
        <w:t>3.2.7 Control and Oversight Mechanisms</w:t>
      </w:r>
    </w:p>
    <w:p>
      <w:r>
        <w:rPr>
          <w:b/>
        </w:rPr>
        <w:t xml:space="preserve">Purpose: </w:t>
      </w:r>
      <w:r>
        <w:t>To define the formal control and oversight mechanisms applicable to this action.</w:t>
      </w:r>
    </w:p>
    <w:p>
      <w:pPr>
        <w:spacing w:after="120"/>
      </w:pPr>
      <w:r>
        <w:t>7.1 Monitoring and KPIs</w:t>
      </w:r>
    </w:p>
    <w:p>
      <w:pPr>
        <w:pStyle w:val="ListBullet"/>
      </w:pPr>
      <w:r>
        <w:t>Define measurable indicators aligned with the action objective</w:t>
      </w:r>
    </w:p>
    <w:p>
      <w:pPr>
        <w:pStyle w:val="ListBullet"/>
      </w:pPr>
      <w:r>
        <w:t>Define measurement frequency and reporting cadence</w:t>
      </w:r>
    </w:p>
    <w:p>
      <w:pPr>
        <w:pStyle w:val="ListBullet"/>
      </w:pPr>
      <w:r>
        <w:t>Identify data source for each KPI</w:t>
      </w:r>
    </w:p>
    <w:p>
      <w:pPr>
        <w:pStyle w:val="ListBullet2"/>
      </w:pPr>
      <w:r>
        <w:t>Assign accountable monitoring role</w:t>
      </w:r>
    </w:p>
    <w:p>
      <w:pPr>
        <w:spacing w:after="120"/>
      </w:pPr>
      <w:r>
        <w:t>7.2 Compliance and Internal Control Alignment</w:t>
      </w:r>
    </w:p>
    <w:p>
      <w:pPr>
        <w:pStyle w:val="ListBullet"/>
      </w:pPr>
      <w:r>
        <w:t>Reference structured internal control mechanisms</w:t>
      </w:r>
    </w:p>
    <w:p>
      <w:pPr>
        <w:pStyle w:val="ListBullet"/>
      </w:pPr>
      <w:r>
        <w:t>Define validation checkpoints</w:t>
      </w:r>
    </w:p>
    <w:p>
      <w:pPr>
        <w:spacing w:after="120"/>
      </w:pPr>
      <w:r>
        <w:t>7.3 Operational Escalation Model</w:t>
      </w:r>
    </w:p>
    <w:p>
      <w:pPr>
        <w:pStyle w:val="ListBullet"/>
      </w:pPr>
      <w:r>
        <w:t>Define escalation thresholds</w:t>
      </w:r>
    </w:p>
    <w:p>
      <w:pPr>
        <w:pStyle w:val="ListBullet2"/>
      </w:pPr>
      <w:r>
        <w:t>Assign responsible escalation authority</w:t>
      </w:r>
    </w:p>
    <w:p>
      <w:pPr>
        <w:pStyle w:val="ListBullet"/>
      </w:pPr>
      <w:r>
        <w:t>Define documented resolution workflow</w:t>
      </w:r>
    </w:p>
    <w:p>
      <w:pPr>
        <w:pStyle w:val="Heading3"/>
      </w:pPr>
      <w:r>
        <w:t>3.2.8 Document Governance</w:t>
      </w:r>
    </w:p>
    <w:p>
      <w:r>
        <w:rPr>
          <w:b/>
        </w:rPr>
        <w:t xml:space="preserve">Purpose: </w:t>
      </w:r>
      <w:r>
        <w:t>To outline the management and review processes for the document itself.</w:t>
      </w:r>
    </w:p>
    <w:p>
      <w:r>
        <w:rPr>
          <w:b/>
        </w:rPr>
        <w:t xml:space="preserve">Expected content: </w:t>
      </w:r>
      <w:r>
        <w:t>Lifecycle management, review cycle, and ownership details.</w:t>
      </w:r>
    </w:p>
    <w:p>
      <w:pPr>
        <w:spacing w:after="120"/>
      </w:pPr>
      <w:r>
        <w:t>Sample elements:</w:t>
      </w:r>
    </w:p>
    <w:p>
      <w:pPr>
        <w:spacing w:after="120"/>
      </w:pPr>
      <w:r>
        <w:t>8.1 Lifecycle Management: Document will be reviewed annually.</w:t>
      </w:r>
    </w:p>
    <w:p>
      <w:pPr>
        <w:spacing w:after="120"/>
      </w:pPr>
      <w:r>
        <w:t>8.2 Review Cycle: Scheduled reviews every six months.</w:t>
      </w:r>
    </w:p>
    <w:p>
      <w:pPr>
        <w:spacing w:after="120"/>
      </w:pPr>
      <w:r>
        <w:t>8.3 Ownership of the Document: Owned by the Data Governance Office.</w:t>
      </w:r>
    </w:p>
    <w:p>
      <w:pPr>
        <w:pStyle w:val="Heading3"/>
      </w:pPr>
      <w:r>
        <w:t>3.2.9 Appendices</w:t>
      </w:r>
    </w:p>
    <w:p>
      <w:r>
        <w:rPr>
          <w:b/>
        </w:rPr>
        <w:t xml:space="preserve">Purpose: </w:t>
      </w:r>
      <w:r>
        <w:t>To provide supplementary materials that support the main document.</w:t>
      </w:r>
    </w:p>
    <w:p>
      <w:r>
        <w:rPr>
          <w:b/>
        </w:rPr>
        <w:t xml:space="preserve">Expected content: </w:t>
      </w:r>
      <w:r>
        <w:t>Templates, reference standards, and supporting artifacts.</w:t>
      </w:r>
    </w:p>
    <w:p>
      <w:pPr>
        <w:spacing w:after="120"/>
      </w:pPr>
      <w:r>
        <w:t>Sample elements:</w:t>
      </w:r>
    </w:p>
    <w:p>
      <w:pPr>
        <w:spacing w:after="120"/>
      </w:pPr>
      <w:r>
        <w:t>9.1 Templates: Standardized workflow templates with embedded checkpoints.</w:t>
      </w:r>
    </w:p>
    <w:p>
      <w:pPr>
        <w:spacing w:after="120"/>
      </w:pPr>
      <w:r>
        <w:t>9.2 Reference Standards: DAMA-DMBOK guidelines.</w:t>
      </w:r>
    </w:p>
    <w:p>
      <w:pPr>
        <w:spacing w:after="120"/>
      </w:pPr>
      <w:r>
        <w:t>9.3 Supporting Artefacts: Mapping documents and validation reports.</w:t>
      </w:r>
    </w:p>
    <w:p>
      <w:pPr>
        <w:pStyle w:val="Heading3"/>
      </w:pPr>
      <w:r>
        <w:t>3.2.10 Evidence Required</w:t>
      </w:r>
    </w:p>
    <w:p>
      <w:pPr>
        <w:pStyle w:val="ListBullet"/>
      </w:pPr>
      <w:r>
        <w:t>Approved document with version control</w:t>
      </w:r>
    </w:p>
    <w:p>
      <w:pPr>
        <w:pStyle w:val="ListBullet"/>
      </w:pPr>
      <w:r>
        <w:t>Formal approval record</w:t>
      </w:r>
    </w:p>
    <w:p>
      <w:pPr>
        <w:pStyle w:val="ListBullet"/>
      </w:pPr>
      <w:r>
        <w:t>RACI matrix attached</w:t>
      </w:r>
    </w:p>
    <w:p>
      <w:pPr>
        <w:pStyle w:val="ListBullet"/>
      </w:pPr>
      <w:r>
        <w:t>Repository registration ID</w:t>
      </w:r>
    </w:p>
    <w:p>
      <w:pPr>
        <w:pStyle w:val="ListBullet"/>
      </w:pPr>
      <w:r>
        <w:t>Stakeholder validation evidence</w:t>
      </w:r>
    </w:p>
    <w:p>
      <w:pPr>
        <w:pStyle w:val="Heading3"/>
      </w:pPr>
      <w:r>
        <w:t>3.2.11 Acceptance Criteria</w:t>
      </w:r>
    </w:p>
    <w:p>
      <w:pPr>
        <w:pStyle w:val="ListBullet2"/>
      </w:pPr>
      <w:r>
        <w:t>Document formally approved</w:t>
      </w:r>
    </w:p>
    <w:p>
      <w:pPr>
        <w:pStyle w:val="ListBullet"/>
      </w:pPr>
      <w:r>
        <w:t>Scope clearly defined</w:t>
      </w:r>
    </w:p>
    <w:p>
      <w:pPr>
        <w:pStyle w:val="ListBullet"/>
      </w:pPr>
      <w:r>
        <w:t>Roles validated</w:t>
      </w:r>
    </w:p>
    <w:p>
      <w:pPr>
        <w:pStyle w:val="ListBullet"/>
      </w:pPr>
      <w:r>
        <w:t>Deliverables stored in official repository</w:t>
      </w:r>
    </w:p>
    <w:p>
      <w:pPr>
        <w:pStyle w:val="ListBullet"/>
      </w:pPr>
      <w:r>
        <w:t>Communication recorded</w:t>
      </w:r>
    </w:p>
    <w:p>
      <w:pPr>
        <w:pStyle w:val="Heading3"/>
      </w:pPr>
      <w:r>
        <w:t>3.2.12 Control Owner</w:t>
      </w:r>
    </w:p>
    <w:p>
      <w:pPr>
        <w:pStyle w:val="ListBullet"/>
      </w:pPr>
      <w:r>
        <w:t>Primary Owner: Domain Owner or Data Governance Office</w:t>
      </w:r>
    </w:p>
    <w:p>
      <w:pPr>
        <w:pStyle w:val="ListBullet"/>
      </w:pPr>
      <w:r>
        <w:t>Oversight Authority: Data Governance Council</w:t>
      </w:r>
    </w:p>
    <w:p>
      <w:pPr>
        <w:pStyle w:val="ListBullet"/>
      </w:pPr>
      <w:r>
        <w:t>Escalation Path: Chief Data Officer</w:t>
      </w:r>
    </w:p>
    <w:p>
      <w:r>
        <w:br w:type="page"/>
      </w:r>
    </w:p>
    <w:p>
      <w:pPr>
        <w:pStyle w:val="Heading1"/>
      </w:pPr>
      <w:r>
        <w:t>4. References</w:t>
      </w:r>
    </w:p>
    <w:p>
      <w:pPr>
        <w:pStyle w:val="ListBullet"/>
      </w:pPr>
      <w:r>
        <w:t>DAMA International. (n.d.). DAMA-DMBOK: Data Management Body of Knowledge (2nd ed.).</w:t>
      </w:r>
    </w:p>
    <w:p>
      <w:pPr>
        <w:pStyle w:val="ListBullet"/>
      </w:pPr>
      <w:r>
        <w:t>EDM Council. (n.d.). DCAM: Data Management Capability Assessment Model.</w:t>
      </w:r>
    </w:p>
    <w:p>
      <w:pPr>
        <w:pStyle w:val="ListBullet"/>
      </w:pPr>
      <w:r>
        <w:t>CMMI Institute. (n.d.). CMMI Model.</w:t>
      </w:r>
    </w:p>
    <w:p>
      <w:pPr>
        <w:pStyle w:val="ListBullet"/>
      </w:pPr>
      <w:r>
        <w:t>European Union. (2016). General Data Protection Regulation (GDPR) (EU) 2016/679.</w:t>
      </w:r>
    </w:p>
    <w:p>
      <w:pPr>
        <w:pStyle w:val="ListBullet"/>
      </w:pPr>
      <w:r>
        <w:t>DOMMx publication (Zenodo record: 18020434).</w:t>
      </w:r>
    </w:p>
    <w:p>
      <w:pPr>
        <w:pStyle w:val="ListBullet"/>
      </w:pPr>
      <w:r>
        <w:t>SLR DOMMx publication (IEEE Xplore document: 11223201).</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365F91" w:themeColor="accent1" w:themeShade="BF"/>
      <w:sz w:val="4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4F81BD" w:themeColor="accent1"/>
      <w:sz w:val="3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4F81BD" w:themeColor="accent1"/>
      <w:sz w:val="28"/>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ascii="Calibri" w:hAnsi="Calibri"/>
      <w:b/>
      <w:bCs/>
      <w:i/>
      <w:iCs/>
      <w:color w:val="4F81BD" w:themeColor="accent1"/>
      <w:sz w:val="24"/>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