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DOMMx Consolidated Project Report</w:t>
      </w:r>
    </w:p>
    <w:p>
      <w:r>
        <w:rPr>
          <w:sz w:val="32"/>
        </w:rPr>
        <w:t>Data Operating Model and Maturity</w:t>
      </w:r>
    </w:p>
    <w:p/>
    <w:p>
      <w:r>
        <w:rPr>
          <w:b/>
        </w:rPr>
        <w:t xml:space="preserve">Project: </w:t>
      </w:r>
      <w:r>
        <w:t>teste 1</w:t>
      </w:r>
      <w:r>
        <w:t xml:space="preserve"> </w:t>
      </w:r>
      <w:r>
        <w:t>(ID: 986bfe9c-b2fa-46b7-b644-077b19e3aa1e)</w:t>
      </w:r>
    </w:p>
    <w:p>
      <w:r>
        <w:rPr>
          <w:b/>
        </w:rPr>
        <w:t xml:space="preserve">Scope: </w:t>
      </w:r>
      <w:r>
        <w:t>All assessed users</w:t>
      </w:r>
    </w:p>
    <w:p>
      <w:r>
        <w:rPr>
          <w:b/>
        </w:rPr>
        <w:t xml:space="preserve">Users included: </w:t>
      </w:r>
      <w:r>
        <w:t>1</w:t>
      </w:r>
    </w:p>
    <w:p>
      <w:r>
        <w:rPr>
          <w:b/>
        </w:rPr>
        <w:t xml:space="preserve">Report language: </w:t>
      </w:r>
      <w:r>
        <w:t>Default</w:t>
      </w:r>
    </w:p>
    <w:p>
      <w:r>
        <w:rPr>
          <w:b/>
        </w:rPr>
        <w:t xml:space="preserve">Generated (UTC): </w:t>
      </w:r>
      <w:r>
        <w:t>2026-03-01 14:16:10</w:t>
      </w:r>
    </w:p>
    <w:p>
      <w:r>
        <w:br w:type="page"/>
      </w:r>
    </w:p>
    <w:p>
      <w:pPr>
        <w:pStyle w:val="Heading1"/>
      </w:pPr>
      <w:r>
        <w:t>Table of Contents</w:t>
      </w:r>
    </w:p>
    <w:p>
      <w:r>
        <w:fldChar w:fldCharType="begin"/>
        <w:instrText xml:space="preserve">TOC \o "1-3" \h \z \u</w:instrText>
        <w:fldChar w:fldCharType="separate"/>
        <w:fldChar w:fldCharType="end"/>
      </w:r>
    </w:p>
    <w:p/>
    <w:p>
      <w:r>
        <w:br w:type="page"/>
      </w:r>
    </w:p>
    <w:p>
      <w:pPr>
        <w:pStyle w:val="Heading1"/>
      </w:pPr>
      <w:r>
        <w:t>1. Assessment Results</w:t>
      </w:r>
    </w:p>
    <w:p>
      <w:pPr>
        <w:spacing w:after="120"/>
      </w:pPr>
      <w:r>
        <w:t>The blueprint and prescriptive guidance presented in this report strictly follow the evaluated domain structure and the maturity values obtained during the current assessment cycle. They do not necessarily represent the entirety of the DOMMx operating model nor the full scope of any referenced data governance framework.</w:t>
        <w:br/>
      </w:r>
    </w:p>
    <w:p>
      <w:pPr>
        <w:spacing w:after="120"/>
      </w:pPr>
      <w:r>
        <w:t>This section provides maturity results by domain, including per-question scores, computed domain averages, and the final domain maturity grade. The domain maturity grade is computed as floor(AVG).</w:t>
        <w:br/>
      </w:r>
    </w:p>
    <w:p/>
    <w:p>
      <w:pPr>
        <w:pStyle w:val="Heading2"/>
      </w:pPr>
      <w:r>
        <w:t>1.1 Domain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Domain</w:t>
            </w:r>
          </w:p>
        </w:tc>
        <w:tc>
          <w:tcPr>
            <w:tcW w:type="dxa" w:w="1728"/>
          </w:tcPr>
          <w:p>
            <w:r>
              <w:t>Domain Name</w:t>
            </w:r>
          </w:p>
        </w:tc>
        <w:tc>
          <w:tcPr>
            <w:tcW w:type="dxa" w:w="1728"/>
          </w:tcPr>
          <w:p>
            <w:r>
              <w:t>AVG</w:t>
            </w:r>
          </w:p>
        </w:tc>
        <w:tc>
          <w:tcPr>
            <w:tcW w:type="dxa" w:w="1728"/>
          </w:tcPr>
          <w:p>
            <w:r>
              <w:t>Final Grade (floor)</w:t>
            </w:r>
          </w:p>
        </w:tc>
        <w:tc>
          <w:tcPr>
            <w:tcW w:type="dxa" w:w="1728"/>
          </w:tcPr>
          <w:p>
            <w:r>
              <w:t>Maturity Level</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Defined</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Defined</w:t>
            </w:r>
          </w:p>
        </w:tc>
      </w:tr>
    </w:tbl>
    <w:p/>
    <w:p>
      <w:pPr>
        <w:pStyle w:val="Heading2"/>
      </w:pPr>
      <w:r>
        <w:t>1.2 DG · Data Governance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3.00</w:t>
            </w:r>
          </w:p>
        </w:tc>
        <w:tc>
          <w:tcPr>
            <w:tcW w:type="dxa" w:w="2160"/>
          </w:tcPr>
          <w:p>
            <w:r>
              <w:t>Defined</w:t>
            </w:r>
          </w:p>
        </w:tc>
        <w:tc>
          <w:tcPr>
            <w:tcW w:type="dxa" w:w="2160"/>
          </w:tcPr>
          <w:p>
            <w:r/>
          </w:p>
        </w:tc>
      </w:tr>
      <w:tr>
        <w:tc>
          <w:tcPr>
            <w:tcW w:type="dxa" w:w="2160"/>
          </w:tcPr>
          <w:p>
            <w:r>
              <w:t>Q2</w:t>
            </w:r>
          </w:p>
        </w:tc>
        <w:tc>
          <w:tcPr>
            <w:tcW w:type="dxa" w:w="2160"/>
          </w:tcPr>
          <w:p>
            <w:r>
              <w:t>4.00</w:t>
            </w:r>
          </w:p>
        </w:tc>
        <w:tc>
          <w:tcPr>
            <w:tcW w:type="dxa" w:w="2160"/>
          </w:tcPr>
          <w:p>
            <w:r>
              <w:t>Managed</w:t>
            </w:r>
          </w:p>
        </w:tc>
        <w:tc>
          <w:tcPr>
            <w:tcW w:type="dxa" w:w="2160"/>
          </w:tcPr>
          <w:p>
            <w:r/>
          </w:p>
        </w:tc>
      </w:tr>
    </w:tbl>
    <w:p>
      <w:pPr>
        <w:spacing w:after="120"/>
      </w:pPr>
      <w:r>
        <w:t>Scoring rule: AVG = mean(question scores). Final domain maturity = floor(AVG).</w:t>
      </w:r>
    </w:p>
    <w:p/>
    <w:p>
      <w:pPr>
        <w:pStyle w:val="Heading2"/>
      </w:pPr>
      <w:r>
        <w:t>1.2 DA · Data Architecture</w:t>
      </w:r>
    </w:p>
    <w:p>
      <w:pPr>
        <w:spacing w:after="120"/>
      </w:pPr>
      <w:r>
        <w:t>Domain maturity grade is computed as floor(AVG). Final grade: 3 (Defined).</w:t>
      </w:r>
    </w:p>
    <w:tbl>
      <w:tblPr>
        <w:tblW w:type="auto" w:w="0"/>
        <w:tblLook w:firstColumn="1" w:firstRow="1" w:lastColumn="0" w:lastRow="0" w:noHBand="0" w:noVBand="1" w:val="04A0"/>
      </w:tblPr>
      <w:tblGrid>
        <w:gridCol w:w="2160"/>
        <w:gridCol w:w="2160"/>
        <w:gridCol w:w="2160"/>
        <w:gridCol w:w="2160"/>
      </w:tblGrid>
      <w:tr>
        <w:tc>
          <w:tcPr>
            <w:tcW w:type="dxa" w:w="2160"/>
          </w:tcPr>
          <w:p>
            <w:r>
              <w:t>Question</w:t>
            </w:r>
          </w:p>
        </w:tc>
        <w:tc>
          <w:tcPr>
            <w:tcW w:type="dxa" w:w="2160"/>
          </w:tcPr>
          <w:p>
            <w:r>
              <w:t>Score</w:t>
            </w:r>
          </w:p>
        </w:tc>
        <w:tc>
          <w:tcPr>
            <w:tcW w:type="dxa" w:w="2160"/>
          </w:tcPr>
          <w:p>
            <w:r>
              <w:t>Nearest Level</w:t>
            </w:r>
          </w:p>
        </w:tc>
        <w:tc>
          <w:tcPr>
            <w:tcW w:type="dxa" w:w="2160"/>
          </w:tcPr>
          <w:p>
            <w:r>
              <w:t>Notes</w:t>
            </w:r>
          </w:p>
        </w:tc>
      </w:tr>
      <w:tr>
        <w:tc>
          <w:tcPr>
            <w:tcW w:type="dxa" w:w="2160"/>
          </w:tcPr>
          <w:p>
            <w:r>
              <w:t>Q1</w:t>
            </w:r>
          </w:p>
        </w:tc>
        <w:tc>
          <w:tcPr>
            <w:tcW w:type="dxa" w:w="2160"/>
          </w:tcPr>
          <w:p>
            <w:r>
              <w:t>5.00</w:t>
            </w:r>
          </w:p>
        </w:tc>
        <w:tc>
          <w:tcPr>
            <w:tcW w:type="dxa" w:w="2160"/>
          </w:tcPr>
          <w:p>
            <w:r>
              <w:t>Optimized</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Scoring rule: AVG = mean(question scores). Final domain maturity = floor(AVG).</w:t>
      </w:r>
    </w:p>
    <w:p>
      <w:pPr>
        <w:pStyle w:val="Heading1"/>
      </w:pPr>
      <w:r>
        <w:t>2. Structural Dependencies and Inconsistencies</w:t>
      </w:r>
    </w:p>
    <w:p>
      <w:pPr>
        <w:spacing w:after="120"/>
      </w:pPr>
      <w:r>
        <w:t>This section documents structural dependencies between domains and highlights detected dependency breaks or maturity incoherences. Declared dependencies are derived from the project flow definition, and remediation rationale is sourced from the dependency inconsistency knowledge base.</w:t>
        <w:br/>
      </w:r>
    </w:p>
    <w:p>
      <w:pPr>
        <w:pStyle w:val="Heading2"/>
      </w:pPr>
      <w:r>
        <w:t>2.1 Declared Dependencies (project flow)</w:t>
      </w:r>
    </w:p>
    <w:p>
      <w:pPr>
        <w:pStyle w:val="Heading3"/>
      </w:pPr>
      <w:r>
        <w:t>DG · Data Governance</w:t>
      </w:r>
    </w:p>
    <w:p>
      <w:pPr>
        <w:spacing w:after="120"/>
      </w:pPr>
      <w:r>
        <w:t>No dependencies declared.</w:t>
      </w:r>
    </w:p>
    <w:p>
      <w:pPr>
        <w:pStyle w:val="Heading3"/>
      </w:pPr>
      <w:r>
        <w:t>DA · Data Architecture</w:t>
      </w:r>
    </w:p>
    <w:p>
      <w:pPr>
        <w:spacing w:after="120"/>
      </w:pPr>
      <w:r>
        <w:t>Declared dependencies:</w:t>
      </w:r>
    </w:p>
    <w:p>
      <w:pPr>
        <w:pStyle w:val="ListBullet"/>
      </w:pPr>
      <w:r>
        <w:t>- DG · Data Governance (grade 3 · Defined)</w:t>
      </w:r>
    </w:p>
    <w:p>
      <w:pPr>
        <w:pStyle w:val="Heading2"/>
      </w:pPr>
      <w:r>
        <w:t>2.2 Detected Dependency Breaks and Remediation Guidance</w:t>
      </w:r>
    </w:p>
    <w:p>
      <w:pPr>
        <w:spacing w:after="120"/>
      </w:pPr>
      <w:r>
        <w:t>No dependency inconsistency records were found for the evaluated domains.</w:t>
      </w:r>
    </w:p>
    <w:p>
      <w:r>
        <w:br w:type="page"/>
      </w:r>
    </w:p>
    <w:p>
      <w:pPr>
        <w:pStyle w:val="Heading1"/>
      </w:pPr>
      <w:r>
        <w:t>3. Domain Blueprint and Prescriptive Procedures</w:t>
      </w:r>
    </w:p>
    <w:p>
      <w:pPr>
        <w:spacing w:after="120"/>
      </w:pPr>
      <w:r>
        <w:t>This section provides the prescriptive blueprint to progress from the current maturity grade. For each domain, a triggered Action Code is identified and its governance procedure pack (DEMO) is provided in a structured format.</w:t>
        <w:br/>
      </w:r>
    </w:p>
    <w:p>
      <w:pPr>
        <w:spacing w:after="120"/>
      </w:pPr>
      <w:r>
        <w:t>The blueprint and prescriptive procedures below strictly reflect the evaluated domains and their respective maturity grades obtained in this assessment cycle. They do not necessarily represent the full scope of the DOMMx operating model nor any comprehensive external governance framework.</w:t>
        <w:br/>
      </w:r>
    </w:p>
    <w:p>
      <w:pPr>
        <w:pStyle w:val="Heading2"/>
      </w:pPr>
      <w:r>
        <w:t>3.1 DG · Data Governance</w:t>
      </w:r>
    </w:p>
    <w:p>
      <w:pPr>
        <w:spacing w:after="120"/>
      </w:pPr>
      <w:r>
        <w:t>Current maturity grade: 3 (Defined).</w:t>
      </w:r>
    </w:p>
    <w:p>
      <w:pPr>
        <w:spacing w:after="120"/>
      </w:pPr>
      <w:r>
        <w:t>Triggered Action Code: DG-04</w:t>
      </w:r>
    </w:p>
    <w:p>
      <w:pPr>
        <w:spacing w:after="120"/>
      </w:pPr>
      <w:r>
        <w:t>No DEMO procedure pack found for this domain/action.</w:t>
      </w:r>
    </w:p>
    <w:p>
      <w:pPr>
        <w:pStyle w:val="Heading2"/>
      </w:pPr>
      <w:r>
        <w:t>3.2 DA · Data Architecture</w:t>
      </w:r>
    </w:p>
    <w:p>
      <w:pPr>
        <w:spacing w:after="120"/>
      </w:pPr>
      <w:r>
        <w:t>Current maturity grade: 3 (Defined).</w:t>
      </w:r>
    </w:p>
    <w:p>
      <w:pPr>
        <w:spacing w:after="120"/>
      </w:pPr>
      <w:r>
        <w:t>Triggered Action Code: DA-04</w:t>
      </w:r>
    </w:p>
    <w:p>
      <w:pPr>
        <w:spacing w:after="120"/>
      </w:pPr>
      <w:r>
        <w:t>No DEMO procedure pack found for this domain/action.</w:t>
      </w:r>
    </w:p>
    <w:p>
      <w:r>
        <w:br w:type="page"/>
      </w:r>
    </w:p>
    <w:p>
      <w:pPr>
        <w:pStyle w:val="Heading1"/>
      </w:pPr>
      <w:r>
        <w:t>4. References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