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14:47:29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>
      <w:pPr>
        <w:pStyle w:val="Heading2"/>
      </w:pPr>
      <w:r>
        <w:t>1.2 DA · Data Architecture</w:t>
      </w:r>
    </w:p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pStyle w:val="Heading3"/>
      </w:pPr>
      <w:r>
        <w:t>3.2.1 Estrutura Padrão de Artefato de Governança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3.4.2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3.4.3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3.4.4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pStyle w:val="Heading3"/>
      </w:pPr>
      <w:r>
        <w:t>3.4.5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3.4.6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3.4.7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3.4.8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3.4.9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3.4.10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3.4.11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3.4.12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3.5 DA · Data Architecture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 Pacote de Procedimentos Prescritivos</w:t>
      </w:r>
    </w:p>
    <w:p>
      <w:pPr>
        <w:pStyle w:val="Heading3"/>
      </w:pPr>
      <w:r>
        <w:t>3.5.1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3.5.2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3.5.3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3.5.4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3.5.5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3.5.6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3.5.7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3.5.8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3.5.9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3.5.10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3.5.11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pStyle w:val="Heading3"/>
      </w:pPr>
      <w:r>
        <w:t>3.6.2 Evidências Mínimas Organizacionais</w:t>
      </w:r>
    </w:p>
    <w:p>
      <w:pPr>
        <w:pStyle w:val="Heading3"/>
      </w:pPr>
      <w:r>
        <w:t>3.6.3 Critério de Evolução para Próximo Ciclo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