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15:46:32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section_3_domain_context_title</w:t>
      </w:r>
    </w:p>
    <w:p>
      <w:pPr>
        <w:spacing w:after="120"/>
      </w:pPr>
      <w:r>
        <w:t>Objetivo: 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 de maturidade com base na pontuação obtida no assessment.</w:t>
        <w:br/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4"/>
      </w:pPr>
      <w:r>
        <w:t>3.4.2.2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pStyle w:val="Heading4"/>
      </w:pPr>
      <w:r>
        <w:t>3.4.2.3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4"/>
      </w:pPr>
      <w:r>
        <w:t>3.4.2.5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4"/>
      </w:pPr>
      <w:r>
        <w:t>3.4.2.7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section_3_domain_context_title</w:t>
      </w:r>
    </w:p>
    <w:p>
      <w:pPr>
        <w:spacing w:after="120"/>
      </w:pPr>
      <w:r>
        <w:t>Objetivo: 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 de maturidade com base na pontuação obtida no assessment.</w:t>
        <w:br/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4"/>
      </w:pPr>
      <w:r>
        <w:t>3.5.2.2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4"/>
      </w:pPr>
      <w:r>
        <w:t>3.5.2.3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3.5.2.4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4"/>
      </w:pPr>
      <w:r>
        <w:t>3.5.2.5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pStyle w:val="Heading3"/>
      </w:pPr>
      <w:r>
        <w:t>3.6.2 Evidências Mínimas Organizacionais</w:t>
      </w:r>
    </w:p>
    <w:p>
      <w:pPr>
        <w:pStyle w:val="Heading3"/>
      </w:pPr>
      <w:r>
        <w:t>3.6.3 Critério de Evolução para Próximo Ciclo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